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论文参考选题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分论坛一：长三角区域一体化律师业发展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长三角区域律师业一体化律师业探讨与研究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长三角一体化下的律师业务新视野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长三角律师业一体化与律所跨区域发展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长三角律所跨区域发展的运营管理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构建长三角区域一体化法律服务体系探讨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法律服务一体化融入经济发展一体化的思考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新时代国家战略下的长三角律师业一体化发展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“十四五”时期律师业发展规划与长三角律师业一体化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律师行业适度规模化建设与长三角律所跨区域布局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中、小律所和精品所如何融入长三角律师业一体化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律师事务所长三角跨区域发展的时机与选择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如何解决一体化经营中的市场拓展、产品研发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长三角跨区域发展中客户管理的难点与痛点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异地联动中的财务管理及税务筹划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跨区域发展的文化建设与品牌管理标准化的施策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长三角一体化下的商事仲裁发展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长三角一体化下的自贸区法律服务需求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长三角一体化下青年律师业务成长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长三角一体化下律师执业环境优化与思考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律师事务所管理与律师职业道德教育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律师也充分均衡发展研究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分论坛二：“三地一区”建设中律师的职能作用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律师在服务“科技创新策源地、新兴产业聚集地、改革开放新高地和经济社会发展全面绿色转型区”即“三地一区”建设过程中职能作用的发挥。包括相关业务研究、自贸区建设法律服务、涉外法律服务、法律服务产品研究、法律服务融合等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分论坛三：刑事辩护新动态</w:t>
      </w:r>
    </w:p>
    <w:p>
      <w:pPr>
        <w:pStyle w:val="4"/>
        <w:widowControl/>
        <w:numPr>
          <w:ilvl w:val="0"/>
          <w:numId w:val="0"/>
        </w:numPr>
        <w:tabs>
          <w:tab w:val="left" w:pos="425"/>
        </w:tabs>
        <w:wordWrap w:val="0"/>
        <w:spacing w:before="0" w:beforeAutospacing="0" w:after="0" w:afterAutospacing="0"/>
        <w:ind w:left="638" w:leftChars="304" w:firstLine="0" w:firstLineChars="0"/>
        <w:jc w:val="both"/>
        <w:outlineLvl w:val="1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认罪认罚从宽制度适用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Hans"/>
        </w:rPr>
        <w:t>新型网络犯罪对律师辩护的挑战与应对</w:t>
      </w:r>
    </w:p>
    <w:p>
      <w:pPr>
        <w:pStyle w:val="4"/>
        <w:widowControl/>
        <w:numPr>
          <w:ilvl w:val="0"/>
          <w:numId w:val="0"/>
        </w:numPr>
        <w:tabs>
          <w:tab w:val="left" w:pos="425"/>
        </w:tabs>
        <w:wordWrap w:val="0"/>
        <w:spacing w:before="0" w:beforeAutospacing="0" w:after="0" w:afterAutospacing="0"/>
        <w:ind w:leftChars="0" w:firstLine="640" w:firstLineChars="200"/>
        <w:jc w:val="both"/>
        <w:outlineLvl w:val="1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刑事案件电子证据取证</w:t>
      </w:r>
    </w:p>
    <w:p>
      <w:pPr>
        <w:pStyle w:val="4"/>
        <w:widowControl/>
        <w:tabs>
          <w:tab w:val="left" w:pos="425"/>
        </w:tabs>
        <w:wordWrap w:val="0"/>
        <w:spacing w:before="0" w:beforeAutospacing="0" w:after="0" w:afterAutospacing="0"/>
        <w:ind w:firstLine="640" w:firstLineChars="200"/>
        <w:jc w:val="both"/>
        <w:outlineLvl w:val="1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Hans"/>
        </w:rPr>
        <w:t>认罪认罚案件中律师辩护的开展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《刑法修正案（十一）》</w:t>
      </w:r>
    </w:p>
    <w:p>
      <w:pPr>
        <w:spacing w:line="360" w:lineRule="auto"/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“互联网+物流”毒品犯罪的刑法适用及辩护</w:t>
      </w:r>
    </w:p>
    <w:p>
      <w:pPr>
        <w:spacing w:line="360" w:lineRule="auto"/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侵犯知识产权刑事犯罪的刑法适用及辩护</w:t>
      </w:r>
    </w:p>
    <w:p>
      <w:pPr>
        <w:spacing w:line="360" w:lineRule="auto"/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刑事司法鉴定制度的反思与完善</w:t>
      </w:r>
    </w:p>
    <w:p>
      <w:pPr>
        <w:pStyle w:val="4"/>
        <w:widowControl/>
        <w:tabs>
          <w:tab w:val="left" w:pos="425"/>
        </w:tabs>
        <w:wordWrap w:val="0"/>
        <w:spacing w:before="0" w:beforeAutospacing="0" w:after="0" w:afterAutospacing="0"/>
        <w:ind w:firstLine="640" w:firstLineChars="200"/>
        <w:jc w:val="both"/>
        <w:outlineLvl w:val="1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Hans"/>
        </w:rPr>
        <w:t>刑事合规业务背景下律师的角色与业务展望</w:t>
      </w:r>
    </w:p>
    <w:p>
      <w:pPr>
        <w:tabs>
          <w:tab w:val="left" w:pos="312"/>
        </w:tabs>
        <w:ind w:firstLine="640" w:firstLineChars="200"/>
        <w:outlineLvl w:val="1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新刑诉法司法解释对律师辩护工作的影响与应对</w:t>
      </w:r>
    </w:p>
    <w:p>
      <w:pPr>
        <w:pStyle w:val="4"/>
        <w:widowControl/>
        <w:tabs>
          <w:tab w:val="left" w:pos="425"/>
        </w:tabs>
        <w:wordWrap w:val="0"/>
        <w:spacing w:before="0" w:beforeAutospacing="0" w:after="0" w:afterAutospacing="0"/>
        <w:ind w:firstLine="640" w:firstLineChars="200"/>
        <w:jc w:val="both"/>
        <w:outlineLvl w:val="1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Hans"/>
        </w:rPr>
        <w:t>网络赌博案件的辩护要点与难点</w:t>
      </w:r>
    </w:p>
    <w:p>
      <w:pPr>
        <w:tabs>
          <w:tab w:val="left" w:pos="312"/>
        </w:tabs>
        <w:ind w:firstLine="640" w:firstLineChars="200"/>
        <w:outlineLvl w:val="1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刑事羁押存在的问题及其完善</w:t>
      </w:r>
    </w:p>
    <w:p>
      <w:pPr>
        <w:pStyle w:val="4"/>
        <w:widowControl/>
        <w:tabs>
          <w:tab w:val="left" w:pos="425"/>
        </w:tabs>
        <w:wordWrap w:val="0"/>
        <w:spacing w:before="0" w:beforeAutospacing="0" w:after="0" w:afterAutospacing="0" w:line="560" w:lineRule="exact"/>
        <w:ind w:firstLine="640" w:firstLineChars="200"/>
        <w:jc w:val="both"/>
        <w:outlineLvl w:val="1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重大疫情期间刑事犯罪态势研究及辩护</w:t>
      </w:r>
    </w:p>
    <w:p>
      <w:pPr>
        <w:pStyle w:val="8"/>
        <w:spacing w:line="560" w:lineRule="exact"/>
        <w:ind w:firstLine="720" w:firstLineChars="200"/>
        <w:jc w:val="both"/>
        <w:outlineLvl w:val="1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未成年人犯罪预防问题研究</w:t>
      </w:r>
    </w:p>
    <w:p>
      <w:pPr>
        <w:pStyle w:val="8"/>
        <w:spacing w:line="560" w:lineRule="exact"/>
        <w:ind w:firstLine="720" w:firstLineChars="200"/>
        <w:jc w:val="both"/>
        <w:outlineLvl w:val="1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虚假诉讼的认定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分论坛四：综合论坛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不作具体要求，除上述分论坛之外的相关研究，可包括《民法典》及其司法解释相关研究、行政处罚法、政府法律部顾问业务、律师参与涉法涉诉信访多元化纠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纷解决等。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61B49"/>
    <w:rsid w:val="18C83A97"/>
    <w:rsid w:val="1D10171B"/>
    <w:rsid w:val="1DF95755"/>
    <w:rsid w:val="23261B49"/>
    <w:rsid w:val="2D8A37A3"/>
    <w:rsid w:val="39B578FA"/>
    <w:rsid w:val="42BF0E22"/>
    <w:rsid w:val="4B6F299E"/>
    <w:rsid w:val="50F51645"/>
    <w:rsid w:val="5EF43710"/>
    <w:rsid w:val="68BF7329"/>
    <w:rsid w:val="737A713E"/>
    <w:rsid w:val="7C0D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正文文本 (2)"/>
    <w:basedOn w:val="1"/>
    <w:unhideWhenUsed/>
    <w:qFormat/>
    <w:uiPriority w:val="99"/>
    <w:pPr>
      <w:shd w:val="clear" w:color="auto" w:fill="FFFFFF"/>
      <w:spacing w:line="298" w:lineRule="exact"/>
      <w:jc w:val="distribute"/>
    </w:pPr>
    <w:rPr>
      <w:rFonts w:ascii="微软雅黑" w:hAnsi="微软雅黑" w:eastAsia="微软雅黑" w:cs="Times New Roman"/>
      <w:spacing w:val="20"/>
      <w:kern w:val="0"/>
      <w:sz w:val="15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2020-08-27T02:02:00Z</dcterms:created>
  <dc:creator>86189</dc:creator>
  <cp:lastModifiedBy>等风的旗</cp:lastModifiedBy>
  <cp:lastPrinted>2021-07-08T07:36:00Z</cp:lastPrinted>
  <dcterms:modified xsi:type="dcterms:W3CDTF">2021-07-09T06:38:59Z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05B43AA5BDE64250AA55A9F3E71DAA09</vt:lpwstr>
  </property>
</Properties>
</file>