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关于开展第二届全国法院“百场优秀庭审”</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评选活动的工作方案</w:t>
      </w:r>
    </w:p>
    <w:p>
      <w:pPr>
        <w:jc w:val="center"/>
        <w:rPr>
          <w:rFonts w:ascii="仿宋_GB2312" w:hAnsi="黑体" w:eastAsia="仿宋_GB2312"/>
          <w:sz w:val="32"/>
          <w:szCs w:val="32"/>
        </w:rPr>
      </w:pP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2018年，由最高人民法院审判管理办公室主办，中国庭审公开网承办，中国法学会支持的首届全国法院“百场优秀庭审”评选活动，经过层层推荐、严格筛选和权威评审，产生汇集了一批高质量的庭审活动，充分发挥出标杆示范作用，取得了良好的法律效果和社会效果。</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此次活动得到了中国法学会的大力支持，来自全国各地法学会的7000多位会员作为评委参与，对全国1694家法院推荐参选的1716场庭审进行打分、点评，共累计收到2万余条评审意见。最终评选出首届全国法院“百场优秀庭审”名单，并在最高人民法院网、中国法院网、中国庭审公开网等多家官方网站进行了公示和展示。（首届全国法院“百场优秀庭审”评选结果展示专题网页链接：</w:t>
      </w:r>
      <w:r>
        <w:rPr>
          <w:rFonts w:hint="eastAsia" w:ascii="仿宋_GB2312" w:hAnsi="华文仿宋" w:eastAsia="仿宋_GB2312"/>
          <w:color w:val="auto"/>
          <w:sz w:val="32"/>
          <w:szCs w:val="32"/>
          <w:u w:val="none"/>
        </w:rPr>
        <w:t>http://tingshen.court.gov.cn/pingjia/zhanshi</w:t>
      </w:r>
      <w:r>
        <w:rPr>
          <w:rFonts w:hint="eastAsia" w:ascii="仿宋_GB2312" w:hAnsi="华文仿宋" w:eastAsia="仿宋_GB2312"/>
          <w:sz w:val="32"/>
          <w:szCs w:val="32"/>
        </w:rPr>
        <w:t>）</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为积极打造全国法院“百场优秀庭审”品牌，建立评选活动长效机制，最高人民法院决定于2019年继续开展“全国法院百场优秀庭审”评选活动，扎实推进人民法院庭审实质化改革，不断提升庭审质量意识。</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此次活动将延续去年的活动机制，仍然分为初评、复评两个阶段开展，其中初评阶段将于7月1日正式开启，由社会公众评选团对各地法院参评的庭审活动按照评价标准进行打分和评价（评价标准见附件1），评委登录庭审评价系统进行庭审点评，7月31日前完成初评，评价结果8月15日前反馈各高级法院。社会公众评选团主要由法学会成员、法律院校专家学者、律师、企业法务人员等组成。</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各高级法院根据中国庭审公开网提供的社会公众评选结果，结合本地庭审公开工作实际情况，推选出参加复评的5至10场庭审，最高人民法院依托中国庭审公开网，组织各高院推荐的评审委员，对各高院推荐的庭审案件进行复评，复评时间为9月15日起至11月1日，评价系统将按照地域回避的原则，随机等量分配给各位评选委员，根据专业不同，评选委员对一定场次庭审进行打分评价，最终汇总得分，评选出第二届全国法院“百场优秀庭审”名单。</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为提升活动的专业性和影响力，本次全国法院第二届“百场优秀庭审”评选活动将继续邀请中国法学会及全国各省法学会会员作为评委参与打分评价。</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同时，中国庭审公开网对庭审评价系统进行了升级改造，建立专业评委准入机制，评委注册方式较往期不同，由各省法学会统一收集辖区内评委信息，中国庭审公开网将统一为法学会评委开通庭审评价系统账号，账号开通后评委即可参与庭审评价活动。（庭审评价活动评委信息表见附件2，庭审评价系统操作须知见附件3）</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各省法学会于2019年6月27日前，将推荐参加中国庭审公开网庭审评价活动的评委</w:t>
      </w:r>
      <w:r>
        <w:fldChar w:fldCharType="begin"/>
      </w:r>
      <w:r>
        <w:instrText xml:space="preserve"> HYPERLINK "mailto:信息发送至zgtsgkw@163.com" </w:instrText>
      </w:r>
      <w:r>
        <w:fldChar w:fldCharType="separate"/>
      </w:r>
      <w:r>
        <w:rPr>
          <w:rFonts w:hint="eastAsia" w:ascii="仿宋_GB2312" w:hAnsi="华文仿宋" w:eastAsia="仿宋_GB2312"/>
          <w:sz w:val="32"/>
          <w:szCs w:val="32"/>
        </w:rPr>
        <w:t>信息发送至tspjpw@163.com</w:t>
      </w:r>
      <w:r>
        <w:rPr>
          <w:rFonts w:hint="eastAsia" w:ascii="仿宋_GB2312" w:hAnsi="华文仿宋" w:eastAsia="仿宋_GB2312"/>
          <w:sz w:val="32"/>
          <w:szCs w:val="32"/>
        </w:rPr>
        <w:fldChar w:fldCharType="end"/>
      </w:r>
      <w:r>
        <w:rPr>
          <w:rFonts w:hint="eastAsia" w:ascii="仿宋_GB2312" w:hAnsi="华文仿宋" w:eastAsia="仿宋_GB2312"/>
          <w:sz w:val="32"/>
          <w:szCs w:val="32"/>
        </w:rPr>
        <w:t>。同时，各省法学会需推选庭审评价联络员1名，负责收集评选评委信息、联络通知、推进庭审点评进度等工作。</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为充分调动广大评委参与庭审评价活动的积极性，提高庭审评价质量，对评委提交的评价内容设立审核和奖励制度，评价内容达到审核标准则判定为有效评价，未通过审核标准判定为无效评价，以评委的有效评价数量为依据，拟以省法学会为奖励单位，分别给予一定的物质奖励。</w:t>
      </w:r>
    </w:p>
    <w:p>
      <w:pPr>
        <w:spacing w:line="500" w:lineRule="exact"/>
        <w:ind w:firstLine="560"/>
        <w:rPr>
          <w:rFonts w:ascii="黑体" w:hAnsi="华文仿宋" w:eastAsia="黑体"/>
          <w:sz w:val="32"/>
          <w:szCs w:val="32"/>
        </w:rPr>
      </w:pPr>
      <w:r>
        <w:rPr>
          <w:rFonts w:hint="eastAsia" w:ascii="黑体" w:hAnsi="华文仿宋" w:eastAsia="黑体"/>
          <w:sz w:val="32"/>
          <w:szCs w:val="32"/>
        </w:rPr>
        <w:t>1、组织奖。</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参评各省法学会辖区内所有评委累计有效评价数量超过500条，即可获得奖励3000元。</w:t>
      </w:r>
    </w:p>
    <w:p>
      <w:pPr>
        <w:spacing w:line="500" w:lineRule="exact"/>
        <w:ind w:firstLine="560"/>
        <w:rPr>
          <w:rFonts w:ascii="黑体" w:hAnsi="华文仿宋" w:eastAsia="黑体"/>
          <w:sz w:val="32"/>
          <w:szCs w:val="32"/>
        </w:rPr>
      </w:pPr>
      <w:r>
        <w:rPr>
          <w:rFonts w:hint="eastAsia" w:ascii="黑体" w:hAnsi="华文仿宋" w:eastAsia="黑体"/>
          <w:sz w:val="32"/>
          <w:szCs w:val="32"/>
        </w:rPr>
        <w:t>2、特别奖。</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活动结束后，有效评价数量排名前三的省法学会，再分别奖励1.5万元、1万元、8000元。</w:t>
      </w:r>
    </w:p>
    <w:p>
      <w:pPr>
        <w:spacing w:line="500" w:lineRule="exact"/>
        <w:ind w:firstLine="561"/>
        <w:rPr>
          <w:rFonts w:ascii="仿宋_GB2312" w:hAnsi="华文仿宋" w:eastAsia="仿宋_GB2312"/>
          <w:b/>
          <w:bCs/>
          <w:sz w:val="32"/>
          <w:szCs w:val="32"/>
        </w:rPr>
      </w:pPr>
      <w:r>
        <w:rPr>
          <w:rFonts w:hint="eastAsia" w:ascii="仿宋_GB2312" w:hAnsi="华文仿宋" w:eastAsia="仿宋_GB2312"/>
          <w:b/>
          <w:bCs/>
          <w:sz w:val="32"/>
          <w:szCs w:val="32"/>
        </w:rPr>
        <w:t>点评内容审核标准说明：</w:t>
      </w:r>
    </w:p>
    <w:p>
      <w:pPr>
        <w:spacing w:line="500" w:lineRule="exact"/>
        <w:ind w:firstLine="560"/>
        <w:rPr>
          <w:rFonts w:ascii="仿宋_GB2312" w:hAnsi="华文仿宋" w:eastAsia="仿宋_GB2312"/>
          <w:sz w:val="32"/>
          <w:szCs w:val="32"/>
        </w:rPr>
      </w:pPr>
      <w:r>
        <w:rPr>
          <w:rFonts w:hint="eastAsia" w:ascii="仿宋_GB2312" w:hAnsi="华文仿宋" w:eastAsia="仿宋_GB2312" w:cs="仿宋"/>
          <w:sz w:val="32"/>
          <w:szCs w:val="32"/>
        </w:rPr>
        <w:t>评委在评价庭审案件中，要本着客观、公正的原则，围绕</w:t>
      </w:r>
      <w:r>
        <w:rPr>
          <w:rFonts w:hint="eastAsia" w:ascii="仿宋_GB2312" w:hAnsi="华文仿宋" w:eastAsia="仿宋_GB2312" w:cs="仿宋"/>
          <w:bCs/>
          <w:sz w:val="32"/>
          <w:szCs w:val="32"/>
        </w:rPr>
        <w:t>庭审形象、庭审技能、庭审程序、庭审准备</w:t>
      </w:r>
      <w:r>
        <w:rPr>
          <w:rFonts w:hint="eastAsia" w:ascii="仿宋_GB2312" w:hAnsi="华文仿宋" w:eastAsia="仿宋_GB2312" w:cs="仿宋"/>
          <w:sz w:val="32"/>
          <w:szCs w:val="32"/>
        </w:rPr>
        <w:t>等角度对参评案件进行打分点评。</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打分共分为四大类，二十个打分小项，每个打分小项5分，评委需对二十个项目全部打分，缺一不可。</w:t>
      </w:r>
    </w:p>
    <w:p>
      <w:pPr>
        <w:spacing w:line="500" w:lineRule="exact"/>
        <w:ind w:firstLine="560"/>
        <w:rPr>
          <w:rFonts w:ascii="仿宋_GB2312" w:hAnsi="华文仿宋" w:eastAsia="仿宋_GB2312"/>
          <w:sz w:val="32"/>
          <w:szCs w:val="32"/>
        </w:rPr>
      </w:pPr>
      <w:r>
        <w:rPr>
          <w:rFonts w:hint="eastAsia" w:ascii="仿宋_GB2312" w:hAnsi="华文仿宋" w:eastAsia="仿宋_GB2312"/>
          <w:sz w:val="32"/>
          <w:szCs w:val="32"/>
        </w:rPr>
        <w:t>点评内容要完整、语言逻辑清晰、切实贴合庭审案件、无错别字和语病、无主观负面评价、无套话空话等。</w:t>
      </w:r>
    </w:p>
    <w:p>
      <w:pPr>
        <w:spacing w:line="500" w:lineRule="exact"/>
        <w:ind w:firstLine="560"/>
        <w:jc w:val="right"/>
        <w:rPr>
          <w:rFonts w:ascii="仿宋_GB2312" w:hAnsi="华文仿宋" w:eastAsia="仿宋_GB2312"/>
          <w:sz w:val="32"/>
          <w:szCs w:val="32"/>
        </w:rPr>
      </w:pPr>
      <w:r>
        <w:rPr>
          <w:rFonts w:hint="eastAsia" w:ascii="仿宋_GB2312" w:hAnsi="华文仿宋" w:eastAsia="仿宋_GB2312"/>
          <w:sz w:val="32"/>
          <w:szCs w:val="32"/>
        </w:rPr>
        <w:t xml:space="preserve">  </w:t>
      </w:r>
    </w:p>
    <w:p>
      <w:pPr>
        <w:spacing w:line="500" w:lineRule="exact"/>
        <w:ind w:right="-1" w:firstLine="560"/>
        <w:jc w:val="left"/>
        <w:rPr>
          <w:rFonts w:ascii="仿宋_GB2312" w:hAnsi="华文仿宋" w:eastAsia="仿宋_GB2312"/>
          <w:sz w:val="32"/>
          <w:szCs w:val="32"/>
        </w:rPr>
      </w:pPr>
      <w:r>
        <w:rPr>
          <w:rFonts w:hint="eastAsia" w:ascii="仿宋_GB2312" w:hAnsi="华文仿宋" w:eastAsia="仿宋_GB2312"/>
          <w:sz w:val="32"/>
          <w:szCs w:val="32"/>
        </w:rPr>
        <w:t>联系人：</w:t>
      </w:r>
    </w:p>
    <w:p>
      <w:pPr>
        <w:spacing w:line="500" w:lineRule="exact"/>
        <w:ind w:right="-1" w:firstLine="560"/>
        <w:rPr>
          <w:rFonts w:ascii="仿宋_GB2312" w:hAnsi="华文仿宋" w:eastAsia="仿宋_GB2312"/>
          <w:sz w:val="32"/>
          <w:szCs w:val="32"/>
        </w:rPr>
      </w:pPr>
      <w:r>
        <w:rPr>
          <w:rFonts w:hint="eastAsia" w:ascii="仿宋_GB2312" w:hAnsi="华文仿宋" w:eastAsia="仿宋_GB2312"/>
          <w:sz w:val="32"/>
          <w:szCs w:val="32"/>
        </w:rPr>
        <w:t>刘 杰  18510111860    010-61943538</w:t>
      </w:r>
    </w:p>
    <w:p>
      <w:pPr>
        <w:spacing w:line="500" w:lineRule="exact"/>
        <w:ind w:right="-1" w:firstLine="560"/>
        <w:rPr>
          <w:rFonts w:ascii="仿宋_GB2312" w:hAnsi="华文仿宋" w:eastAsia="仿宋_GB2312"/>
          <w:sz w:val="32"/>
          <w:szCs w:val="32"/>
        </w:rPr>
      </w:pPr>
      <w:r>
        <w:rPr>
          <w:rFonts w:hint="eastAsia" w:ascii="仿宋_GB2312" w:hAnsi="华文仿宋" w:eastAsia="仿宋_GB2312"/>
          <w:sz w:val="32"/>
          <w:szCs w:val="32"/>
        </w:rPr>
        <w:t>徐倩宜 18911027114</w:t>
      </w:r>
    </w:p>
    <w:p>
      <w:pPr>
        <w:spacing w:line="500" w:lineRule="exact"/>
        <w:ind w:firstLine="560"/>
        <w:rPr>
          <w:rFonts w:ascii="仿宋_GB2312" w:hAnsi="华文仿宋" w:eastAsia="仿宋_GB2312" w:cs="宋体"/>
          <w:sz w:val="32"/>
          <w:szCs w:val="32"/>
        </w:rPr>
      </w:pPr>
    </w:p>
    <w:p>
      <w:pPr>
        <w:spacing w:line="500" w:lineRule="exact"/>
        <w:ind w:firstLine="560"/>
        <w:rPr>
          <w:rFonts w:ascii="仿宋_GB2312" w:hAnsi="华文仿宋" w:eastAsia="仿宋_GB2312" w:cs="宋体"/>
          <w:sz w:val="32"/>
          <w:szCs w:val="32"/>
        </w:rPr>
      </w:pPr>
    </w:p>
    <w:p>
      <w:pPr>
        <w:spacing w:line="500" w:lineRule="exact"/>
        <w:ind w:firstLine="560"/>
        <w:rPr>
          <w:rFonts w:ascii="仿宋_GB2312" w:hAnsi="华文仿宋" w:eastAsia="仿宋_GB2312" w:cs="宋体"/>
          <w:sz w:val="32"/>
          <w:szCs w:val="32"/>
        </w:rPr>
      </w:pPr>
      <w:r>
        <w:rPr>
          <w:rFonts w:hint="eastAsia" w:ascii="仿宋_GB2312" w:hAnsi="华文仿宋" w:eastAsia="仿宋_GB2312" w:cs="宋体"/>
          <w:sz w:val="32"/>
          <w:szCs w:val="32"/>
        </w:rPr>
        <w:t>附件：</w:t>
      </w:r>
    </w:p>
    <w:p>
      <w:pPr>
        <w:spacing w:line="500" w:lineRule="exact"/>
        <w:ind w:firstLine="560"/>
        <w:rPr>
          <w:rFonts w:ascii="仿宋_GB2312" w:hAnsi="华文仿宋" w:eastAsia="仿宋_GB2312" w:cs="仿宋"/>
          <w:sz w:val="32"/>
          <w:szCs w:val="32"/>
        </w:rPr>
      </w:pPr>
      <w:r>
        <w:rPr>
          <w:rFonts w:hint="eastAsia" w:ascii="仿宋_GB2312" w:hAnsi="华文仿宋" w:eastAsia="仿宋_GB2312" w:cs="仿宋"/>
          <w:sz w:val="32"/>
          <w:szCs w:val="32"/>
        </w:rPr>
        <w:t>1.</w:t>
      </w:r>
      <w:r>
        <w:rPr>
          <w:rFonts w:hint="eastAsia" w:ascii="仿宋_GB2312" w:hAnsi="华文仿宋" w:eastAsia="仿宋_GB2312"/>
          <w:sz w:val="32"/>
          <w:szCs w:val="32"/>
        </w:rPr>
        <w:t>评价标准</w:t>
      </w:r>
    </w:p>
    <w:p>
      <w:pPr>
        <w:spacing w:line="500" w:lineRule="exact"/>
        <w:ind w:firstLine="560"/>
        <w:rPr>
          <w:rFonts w:ascii="仿宋_GB2312" w:hAnsi="华文仿宋" w:eastAsia="仿宋_GB2312"/>
          <w:sz w:val="32"/>
          <w:szCs w:val="32"/>
        </w:rPr>
      </w:pPr>
      <w:r>
        <w:rPr>
          <w:rFonts w:hint="eastAsia" w:ascii="仿宋_GB2312" w:hAnsi="华文仿宋" w:eastAsia="仿宋_GB2312" w:cs="仿宋"/>
          <w:sz w:val="32"/>
          <w:szCs w:val="32"/>
        </w:rPr>
        <w:t>2.</w:t>
      </w:r>
      <w:r>
        <w:rPr>
          <w:rFonts w:hint="eastAsia" w:ascii="仿宋_GB2312" w:hAnsi="华文仿宋" w:eastAsia="仿宋_GB2312"/>
          <w:sz w:val="32"/>
          <w:szCs w:val="32"/>
        </w:rPr>
        <w:t>庭审评价活动评委信息表</w:t>
      </w:r>
    </w:p>
    <w:p>
      <w:pPr>
        <w:spacing w:line="500" w:lineRule="exact"/>
        <w:ind w:firstLine="560"/>
        <w:rPr>
          <w:rFonts w:ascii="仿宋_GB2312" w:hAnsi="华文仿宋" w:eastAsia="仿宋_GB2312" w:cs="仿宋"/>
          <w:sz w:val="32"/>
          <w:szCs w:val="32"/>
        </w:rPr>
      </w:pPr>
      <w:r>
        <w:rPr>
          <w:rFonts w:hint="eastAsia" w:ascii="仿宋_GB2312" w:hAnsi="华文仿宋" w:eastAsia="仿宋_GB2312" w:cs="仿宋"/>
          <w:sz w:val="32"/>
          <w:szCs w:val="32"/>
        </w:rPr>
        <w:t>3.庭审评价系统操作须知</w:t>
      </w:r>
    </w:p>
    <w:p>
      <w:pPr>
        <w:spacing w:line="500" w:lineRule="exact"/>
        <w:ind w:firstLine="560"/>
        <w:rPr>
          <w:rFonts w:ascii="仿宋_GB2312" w:hAnsi="华文仿宋" w:eastAsia="仿宋_GB2312" w:cs="仿宋"/>
          <w:sz w:val="32"/>
          <w:szCs w:val="32"/>
        </w:rPr>
      </w:pPr>
    </w:p>
    <w:p>
      <w:pPr>
        <w:spacing w:line="500" w:lineRule="exact"/>
        <w:rPr>
          <w:rFonts w:ascii="仿宋_GB2312" w:hAnsi="华文仿宋" w:eastAsia="仿宋_GB2312"/>
          <w:sz w:val="32"/>
          <w:szCs w:val="32"/>
        </w:rPr>
      </w:pPr>
    </w:p>
    <w:p>
      <w:pPr>
        <w:ind w:firstLine="560"/>
        <w:rPr>
          <w:rFonts w:hint="eastAsia" w:ascii="华文仿宋" w:hAnsi="华文仿宋" w:eastAsia="华文仿宋" w:cs="黑体"/>
          <w:sz w:val="28"/>
          <w:szCs w:val="28"/>
        </w:rPr>
      </w:pPr>
    </w:p>
    <w:p>
      <w:pPr>
        <w:ind w:firstLine="560"/>
        <w:rPr>
          <w:rFonts w:hint="eastAsia" w:ascii="华文仿宋" w:hAnsi="华文仿宋" w:eastAsia="华文仿宋" w:cs="黑体"/>
          <w:sz w:val="28"/>
          <w:szCs w:val="28"/>
        </w:rPr>
      </w:pPr>
    </w:p>
    <w:p>
      <w:pPr>
        <w:ind w:firstLine="560"/>
        <w:rPr>
          <w:rFonts w:hint="eastAsia" w:ascii="华文仿宋" w:hAnsi="华文仿宋" w:eastAsia="华文仿宋" w:cs="黑体"/>
          <w:sz w:val="28"/>
          <w:szCs w:val="28"/>
        </w:rPr>
      </w:pPr>
    </w:p>
    <w:p>
      <w:pPr>
        <w:ind w:firstLine="560"/>
        <w:rPr>
          <w:rFonts w:hint="eastAsia" w:ascii="华文仿宋" w:hAnsi="华文仿宋" w:eastAsia="华文仿宋" w:cs="黑体"/>
          <w:sz w:val="28"/>
          <w:szCs w:val="28"/>
        </w:rPr>
      </w:pPr>
    </w:p>
    <w:p>
      <w:pPr>
        <w:rPr>
          <w:rFonts w:ascii="华文仿宋" w:hAnsi="华文仿宋" w:eastAsia="华文仿宋" w:cs="黑体"/>
          <w:sz w:val="28"/>
          <w:szCs w:val="28"/>
        </w:rPr>
      </w:pPr>
      <w:r>
        <w:rPr>
          <w:rFonts w:hint="eastAsia" w:ascii="华文仿宋" w:hAnsi="华文仿宋" w:eastAsia="华文仿宋" w:cs="黑体"/>
          <w:sz w:val="28"/>
          <w:szCs w:val="28"/>
        </w:rPr>
        <w:t>附件1：评价标准</w:t>
      </w:r>
    </w:p>
    <w:p>
      <w:pPr>
        <w:ind w:firstLine="560"/>
        <w:rPr>
          <w:rFonts w:ascii="华文仿宋" w:hAnsi="华文仿宋" w:eastAsia="华文仿宋"/>
          <w:sz w:val="28"/>
          <w:szCs w:val="28"/>
        </w:rPr>
      </w:pPr>
      <w:r>
        <w:rPr>
          <w:rFonts w:hint="eastAsia" w:ascii="华文仿宋" w:hAnsi="华文仿宋" w:eastAsia="华文仿宋"/>
          <w:sz w:val="28"/>
          <w:szCs w:val="28"/>
        </w:rPr>
        <w:t>评分共分为四大类，二十个评分小项，每个评分小项5分，共计100分。</w:t>
      </w:r>
    </w:p>
    <w:tbl>
      <w:tblPr>
        <w:tblStyle w:val="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9"/>
        <w:gridCol w:w="6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tcBorders>
              <w:tl2br w:val="nil"/>
              <w:tr2bl w:val="nil"/>
            </w:tcBorders>
            <w:shd w:val="clear" w:color="auto" w:fill="FFFFFF"/>
            <w:vAlign w:val="bottom"/>
          </w:tcPr>
          <w:p>
            <w:pPr>
              <w:widowControl/>
              <w:spacing w:line="500" w:lineRule="exact"/>
              <w:jc w:val="center"/>
              <w:rPr>
                <w:rFonts w:ascii="华文仿宋" w:hAnsi="华文仿宋" w:eastAsia="华文仿宋" w:cs="仿宋"/>
                <w:b/>
                <w:color w:val="000000" w:themeColor="text1"/>
                <w:sz w:val="28"/>
                <w:szCs w:val="28"/>
              </w:rPr>
            </w:pPr>
            <w:r>
              <w:rPr>
                <w:rFonts w:hint="eastAsia" w:ascii="华文仿宋" w:hAnsi="华文仿宋" w:eastAsia="华文仿宋" w:cs="仿宋"/>
                <w:b/>
                <w:color w:val="000000" w:themeColor="text1"/>
                <w:sz w:val="28"/>
                <w:szCs w:val="28"/>
              </w:rPr>
              <w:t>评分大类</w:t>
            </w:r>
          </w:p>
        </w:tc>
        <w:tc>
          <w:tcPr>
            <w:tcW w:w="6577" w:type="dxa"/>
            <w:tcBorders>
              <w:tl2br w:val="nil"/>
              <w:tr2bl w:val="nil"/>
            </w:tcBorders>
            <w:shd w:val="clear" w:color="auto" w:fill="FFFFFF"/>
            <w:vAlign w:val="bottom"/>
          </w:tcPr>
          <w:p>
            <w:pPr>
              <w:widowControl/>
              <w:spacing w:line="500" w:lineRule="exact"/>
              <w:jc w:val="center"/>
              <w:rPr>
                <w:rFonts w:ascii="华文仿宋" w:hAnsi="华文仿宋" w:eastAsia="华文仿宋" w:cs="仿宋"/>
                <w:b/>
                <w:color w:val="000000" w:themeColor="text1"/>
                <w:sz w:val="28"/>
                <w:szCs w:val="28"/>
              </w:rPr>
            </w:pPr>
            <w:r>
              <w:rPr>
                <w:rFonts w:hint="eastAsia" w:ascii="华文仿宋" w:hAnsi="华文仿宋" w:eastAsia="华文仿宋" w:cs="仿宋"/>
                <w:b/>
                <w:color w:val="000000" w:themeColor="text1"/>
                <w:sz w:val="28"/>
                <w:szCs w:val="28"/>
              </w:rPr>
              <w:t>评分小项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restart"/>
            <w:tcBorders>
              <w:tl2br w:val="nil"/>
              <w:tr2bl w:val="nil"/>
            </w:tcBorders>
            <w:shd w:val="clear" w:color="auto" w:fill="FFFFFF"/>
            <w:vAlign w:val="center"/>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庭审准备</w:t>
            </w:r>
          </w:p>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（10分）</w:t>
            </w: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宣布法庭纪律、核对当事人身份（5分）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告知诉讼权利义务、处理程序异议及回避申请（5分）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restart"/>
            <w:tcBorders>
              <w:tl2br w:val="nil"/>
              <w:tr2bl w:val="nil"/>
            </w:tcBorders>
            <w:shd w:val="clear" w:color="auto" w:fill="FFFFFF"/>
            <w:vAlign w:val="center"/>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庭审程序</w:t>
            </w:r>
          </w:p>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（30分）</w:t>
            </w: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归纳案件争议焦点（5分）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指挥引导当事人举证、质证（5分）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当庭认证（5分）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查明案件基本事实（5分）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辩论内容引导、辩论节奏把握（5分）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庭审程序合法、完整（5分）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restart"/>
            <w:tcBorders>
              <w:tl2br w:val="nil"/>
              <w:tr2bl w:val="nil"/>
            </w:tcBorders>
            <w:shd w:val="clear" w:color="auto" w:fill="FFFFFF"/>
            <w:vAlign w:val="center"/>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庭审技能</w:t>
            </w:r>
          </w:p>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（40分）</w:t>
            </w: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审理思路（5分）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维持法庭秩序（5分）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处置庭审突发事件（5分）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合议庭成员分工配合（5分）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调解能力（5分）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庭审语言能力（5分）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庭审驾驭水平（5分）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center"/>
          </w:tcPr>
          <w:p>
            <w:pPr>
              <w:widowControl/>
              <w:spacing w:line="500" w:lineRule="exact"/>
              <w:ind w:firstLine="560"/>
              <w:jc w:val="center"/>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庭审效率（5分）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restart"/>
            <w:tcBorders>
              <w:tl2br w:val="nil"/>
              <w:tr2bl w:val="nil"/>
            </w:tcBorders>
            <w:shd w:val="clear" w:color="auto" w:fill="FFFFFF"/>
            <w:vAlign w:val="center"/>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庭审形象</w:t>
            </w:r>
          </w:p>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（20分）</w:t>
            </w: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法庭布置、审判人员着装规范（5分）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bottom"/>
          </w:tcPr>
          <w:p>
            <w:pPr>
              <w:widowControl/>
              <w:spacing w:line="500" w:lineRule="exact"/>
              <w:ind w:firstLine="560"/>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审判人员仪态、举止规范（5分）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bottom"/>
          </w:tcPr>
          <w:p>
            <w:pPr>
              <w:widowControl/>
              <w:spacing w:line="500" w:lineRule="exact"/>
              <w:ind w:firstLine="560"/>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对待当事人的态度（5分）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279" w:type="dxa"/>
            <w:vMerge w:val="continue"/>
            <w:tcBorders>
              <w:tl2br w:val="nil"/>
              <w:tr2bl w:val="nil"/>
            </w:tcBorders>
            <w:shd w:val="clear" w:color="auto" w:fill="FFFFFF"/>
            <w:vAlign w:val="bottom"/>
          </w:tcPr>
          <w:p>
            <w:pPr>
              <w:widowControl/>
              <w:spacing w:line="500" w:lineRule="exact"/>
              <w:ind w:firstLine="560"/>
              <w:rPr>
                <w:rFonts w:ascii="华文仿宋" w:hAnsi="华文仿宋" w:eastAsia="华文仿宋" w:cs="仿宋"/>
                <w:bCs/>
                <w:color w:val="000000" w:themeColor="text1"/>
                <w:sz w:val="28"/>
                <w:szCs w:val="28"/>
              </w:rPr>
            </w:pPr>
          </w:p>
        </w:tc>
        <w:tc>
          <w:tcPr>
            <w:tcW w:w="6577" w:type="dxa"/>
            <w:tcBorders>
              <w:tl2br w:val="nil"/>
              <w:tr2bl w:val="nil"/>
            </w:tcBorders>
            <w:shd w:val="clear" w:color="auto" w:fill="FFFFFF"/>
            <w:vAlign w:val="bottom"/>
          </w:tcPr>
          <w:p>
            <w:pPr>
              <w:widowControl/>
              <w:spacing w:line="500" w:lineRule="exact"/>
              <w:rPr>
                <w:rFonts w:ascii="华文仿宋" w:hAnsi="华文仿宋" w:eastAsia="华文仿宋" w:cs="仿宋"/>
                <w:bCs/>
                <w:color w:val="000000" w:themeColor="text1"/>
                <w:sz w:val="28"/>
                <w:szCs w:val="28"/>
              </w:rPr>
            </w:pPr>
            <w:r>
              <w:rPr>
                <w:rFonts w:hint="eastAsia" w:ascii="华文仿宋" w:hAnsi="华文仿宋" w:eastAsia="华文仿宋" w:cs="仿宋"/>
                <w:bCs/>
                <w:color w:val="000000" w:themeColor="text1"/>
                <w:sz w:val="28"/>
                <w:szCs w:val="28"/>
              </w:rPr>
              <w:t>秉持客观中立立场（5分）</w:t>
            </w:r>
          </w:p>
        </w:tc>
      </w:tr>
    </w:tbl>
    <w:p>
      <w:pPr>
        <w:ind w:firstLine="640"/>
      </w:pPr>
    </w:p>
    <w:p/>
    <w:p/>
    <w:p>
      <w:pPr>
        <w:spacing w:line="500" w:lineRule="exact"/>
        <w:ind w:firstLine="560"/>
        <w:rPr>
          <w:rFonts w:hint="eastAsia" w:ascii="仿宋_GB2312" w:hAnsi="华文仿宋" w:eastAsia="仿宋_GB2312" w:cs="仿宋"/>
          <w:sz w:val="32"/>
          <w:szCs w:val="32"/>
        </w:rPr>
      </w:pPr>
    </w:p>
    <w:p>
      <w:pPr>
        <w:spacing w:line="500" w:lineRule="exact"/>
        <w:rPr>
          <w:rFonts w:ascii="仿宋_GB2312" w:hAnsi="华文仿宋" w:eastAsia="仿宋_GB2312"/>
          <w:sz w:val="32"/>
          <w:szCs w:val="32"/>
        </w:rPr>
      </w:pPr>
      <w:r>
        <w:rPr>
          <w:rFonts w:hint="eastAsia" w:ascii="仿宋_GB2312" w:hAnsi="华文仿宋" w:eastAsia="仿宋_GB2312" w:cs="仿宋"/>
          <w:sz w:val="32"/>
          <w:szCs w:val="32"/>
          <w:lang w:val="en-US" w:eastAsia="zh-CN"/>
        </w:rPr>
        <w:t>附件</w:t>
      </w:r>
      <w:r>
        <w:rPr>
          <w:rFonts w:hint="eastAsia" w:ascii="仿宋_GB2312" w:hAnsi="华文仿宋" w:eastAsia="仿宋_GB2312" w:cs="仿宋"/>
          <w:sz w:val="32"/>
          <w:szCs w:val="32"/>
        </w:rPr>
        <w:t>2.</w:t>
      </w:r>
      <w:r>
        <w:rPr>
          <w:rFonts w:hint="eastAsia" w:ascii="仿宋_GB2312" w:hAnsi="华文仿宋" w:eastAsia="仿宋_GB2312"/>
          <w:sz w:val="32"/>
          <w:szCs w:val="32"/>
        </w:rPr>
        <w:t>庭审评价活动评委信息表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109"/>
        <w:gridCol w:w="402"/>
        <w:gridCol w:w="402"/>
        <w:gridCol w:w="403"/>
        <w:gridCol w:w="403"/>
        <w:gridCol w:w="403"/>
        <w:gridCol w:w="403"/>
        <w:gridCol w:w="403"/>
        <w:gridCol w:w="403"/>
        <w:gridCol w:w="403"/>
        <w:gridCol w:w="403"/>
        <w:gridCol w:w="403"/>
        <w:gridCol w:w="403"/>
        <w:gridCol w:w="1275"/>
        <w:gridCol w:w="451"/>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522" w:type="dxa"/>
            <w:gridSpan w:val="17"/>
            <w:noWrap/>
          </w:tcPr>
          <w:p>
            <w:pPr>
              <w:rPr>
                <w:b/>
                <w:bCs/>
                <w:u w:val="single"/>
              </w:rPr>
            </w:pPr>
            <w:r>
              <w:fldChar w:fldCharType="begin"/>
            </w:r>
            <w:r>
              <w:instrText xml:space="preserve"> LINK Excel.Sheet.12</w:instrText>
            </w:r>
            <w:r>
              <w:rPr>
                <w:rFonts w:hint="eastAsia"/>
              </w:rPr>
              <w:instrText xml:space="preserve"> E:\\2019法学会工作\\省法学会文件\\附件2：庭审评价活动评委信息表.xlsx 工作表1!R1C1:R16C17 </w:instrText>
            </w:r>
            <w:r>
              <w:instrText xml:space="preserve">\a \f 5 \h  \* MERGEFORMAT </w:instrText>
            </w:r>
            <w:r>
              <w:fldChar w:fldCharType="separate"/>
            </w:r>
            <w:r>
              <w:rPr>
                <w:rFonts w:hint="eastAsia"/>
                <w:b/>
                <w:bCs/>
                <w:u w:val="single"/>
              </w:rPr>
              <w:t xml:space="preserve">          安徽   </w:t>
            </w:r>
            <w:r>
              <w:rPr>
                <w:rFonts w:hint="eastAsia"/>
                <w:b/>
                <w:bCs/>
              </w:rPr>
              <w:t>省/市法学会庭审评价活动评委信息表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522" w:type="dxa"/>
            <w:gridSpan w:val="17"/>
            <w:noWrap/>
          </w:tcPr>
          <w:p>
            <w:r>
              <w:rPr>
                <w:rFonts w:hint="eastAsia"/>
              </w:rPr>
              <w:t>联络人：葛瑞冬，会员部主任，手机/微信 15956969023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8522" w:type="dxa"/>
            <w:gridSpan w:val="17"/>
          </w:tcPr>
          <w:p>
            <w:r>
              <w:rPr>
                <w:rFonts w:hint="eastAsia"/>
              </w:rPr>
              <w:t>注：</w:t>
            </w:r>
            <w:r>
              <w:rPr>
                <w:rFonts w:hint="eastAsia"/>
              </w:rPr>
              <w:br w:type="textWrapping"/>
            </w:r>
            <w:r>
              <w:rPr>
                <w:rFonts w:hint="eastAsia"/>
              </w:rPr>
              <w:t>1. 评选委员联系方式请填写11位手机号码，评委的手机号码将作为登录庭审评价系统的唯一账号，用于接收登录验证码等系统短信，务必真实填写；</w:t>
            </w:r>
            <w:r>
              <w:rPr>
                <w:rFonts w:hint="eastAsia"/>
              </w:rPr>
              <w:br w:type="textWrapping"/>
            </w:r>
            <w:r>
              <w:rPr>
                <w:rFonts w:hint="eastAsia"/>
              </w:rPr>
              <w:t>2. 请在每位评选委员的“擅长案件类型”下填写“是”或“否”，评选委员的擅长类型可多选。</w:t>
            </w:r>
            <w:r>
              <w:rPr>
                <w:rFonts w:hint="eastAsia"/>
              </w:rPr>
              <w:br w:type="textWrapping"/>
            </w:r>
            <w:r>
              <w:rPr>
                <w:rFonts w:hint="eastAsia"/>
              </w:rPr>
              <w:t>3.*为必填项，还请如实填写，否则无法开通注册评委账号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*姓名</w:t>
            </w:r>
          </w:p>
        </w:tc>
        <w:tc>
          <w:tcPr>
            <w:tcW w:w="1109" w:type="dxa"/>
            <w:noWrap/>
          </w:tcPr>
          <w:p>
            <w:r>
              <w:rPr>
                <w:rFonts w:hint="eastAsia"/>
              </w:rPr>
              <w:t>*手机</w:t>
            </w:r>
          </w:p>
        </w:tc>
        <w:tc>
          <w:tcPr>
            <w:tcW w:w="402" w:type="dxa"/>
            <w:noWrap/>
          </w:tcPr>
          <w:p>
            <w:r>
              <w:rPr>
                <w:rFonts w:hint="eastAsia"/>
              </w:rPr>
              <w:t>邮箱</w:t>
            </w:r>
          </w:p>
        </w:tc>
        <w:tc>
          <w:tcPr>
            <w:tcW w:w="402" w:type="dxa"/>
            <w:noWrap/>
          </w:tcPr>
          <w:p>
            <w:r>
              <w:rPr>
                <w:rFonts w:hint="eastAsia"/>
              </w:rPr>
              <w:t>*性别</w:t>
            </w:r>
          </w:p>
        </w:tc>
        <w:tc>
          <w:tcPr>
            <w:tcW w:w="403" w:type="dxa"/>
            <w:noWrap/>
          </w:tcPr>
          <w:p>
            <w:r>
              <w:rPr>
                <w:rFonts w:hint="eastAsia"/>
              </w:rPr>
              <w:t>*所属行业</w:t>
            </w:r>
          </w:p>
        </w:tc>
        <w:tc>
          <w:tcPr>
            <w:tcW w:w="403" w:type="dxa"/>
            <w:noWrap/>
          </w:tcPr>
          <w:p>
            <w:r>
              <w:rPr>
                <w:rFonts w:hint="eastAsia"/>
              </w:rPr>
              <w:t>*所在省市</w:t>
            </w:r>
          </w:p>
        </w:tc>
        <w:tc>
          <w:tcPr>
            <w:tcW w:w="403" w:type="dxa"/>
            <w:noWrap/>
          </w:tcPr>
          <w:p>
            <w:r>
              <w:rPr>
                <w:rFonts w:hint="eastAsia"/>
              </w:rPr>
              <w:t>*所属省法学会</w:t>
            </w:r>
          </w:p>
        </w:tc>
        <w:tc>
          <w:tcPr>
            <w:tcW w:w="403" w:type="dxa"/>
            <w:noWrap/>
          </w:tcPr>
          <w:p>
            <w:r>
              <w:rPr>
                <w:rFonts w:hint="eastAsia"/>
              </w:rPr>
              <w:t>所属部门</w:t>
            </w:r>
          </w:p>
        </w:tc>
        <w:tc>
          <w:tcPr>
            <w:tcW w:w="403" w:type="dxa"/>
            <w:noWrap/>
          </w:tcPr>
          <w:p>
            <w:r>
              <w:rPr>
                <w:rFonts w:hint="eastAsia"/>
              </w:rPr>
              <w:t>*职务</w:t>
            </w:r>
          </w:p>
        </w:tc>
        <w:tc>
          <w:tcPr>
            <w:tcW w:w="403" w:type="dxa"/>
            <w:noWrap/>
          </w:tcPr>
          <w:p>
            <w:r>
              <w:rPr>
                <w:rFonts w:hint="eastAsia"/>
              </w:rPr>
              <w:t>地址</w:t>
            </w:r>
          </w:p>
        </w:tc>
        <w:tc>
          <w:tcPr>
            <w:tcW w:w="403" w:type="dxa"/>
            <w:noWrap/>
          </w:tcPr>
          <w:p>
            <w:r>
              <w:rPr>
                <w:rFonts w:hint="eastAsia"/>
              </w:rPr>
              <w:t>邮政编码</w:t>
            </w:r>
          </w:p>
        </w:tc>
        <w:tc>
          <w:tcPr>
            <w:tcW w:w="403" w:type="dxa"/>
            <w:noWrap/>
          </w:tcPr>
          <w:p>
            <w:r>
              <w:rPr>
                <w:rFonts w:hint="eastAsia"/>
              </w:rPr>
              <w:t>*擅长民事</w:t>
            </w:r>
          </w:p>
        </w:tc>
        <w:tc>
          <w:tcPr>
            <w:tcW w:w="403" w:type="dxa"/>
            <w:noWrap/>
          </w:tcPr>
          <w:p>
            <w:r>
              <w:rPr>
                <w:rFonts w:hint="eastAsia"/>
              </w:rPr>
              <w:t>*擅长刑事</w:t>
            </w:r>
          </w:p>
        </w:tc>
        <w:tc>
          <w:tcPr>
            <w:tcW w:w="403" w:type="dxa"/>
            <w:noWrap/>
          </w:tcPr>
          <w:p>
            <w:r>
              <w:rPr>
                <w:rFonts w:hint="eastAsia"/>
              </w:rPr>
              <w:t>*擅长行政/赔偿</w:t>
            </w:r>
          </w:p>
        </w:tc>
        <w:tc>
          <w:tcPr>
            <w:tcW w:w="1275" w:type="dxa"/>
            <w:noWrap/>
          </w:tcPr>
          <w:p>
            <w:r>
              <w:rPr>
                <w:rFonts w:hint="eastAsia"/>
              </w:rPr>
              <w:t>出生日期（如：2000-01-01）</w:t>
            </w:r>
          </w:p>
        </w:tc>
        <w:tc>
          <w:tcPr>
            <w:tcW w:w="451" w:type="dxa"/>
            <w:noWrap/>
          </w:tcPr>
          <w:p>
            <w:r>
              <w:rPr>
                <w:rFonts w:hint="eastAsia"/>
              </w:rPr>
              <w:t>学历</w:t>
            </w:r>
          </w:p>
        </w:tc>
        <w:tc>
          <w:tcPr>
            <w:tcW w:w="451" w:type="dxa"/>
            <w:noWrap/>
          </w:tcPr>
          <w:p>
            <w:r>
              <w:rPr>
                <w:rFonts w:hint="eastAsia"/>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权良胜</w:t>
            </w:r>
          </w:p>
        </w:tc>
        <w:tc>
          <w:tcPr>
            <w:tcW w:w="1109" w:type="dxa"/>
            <w:noWrap/>
          </w:tcPr>
          <w:p>
            <w:r>
              <w:rPr>
                <w:rFonts w:hint="eastAsia"/>
              </w:rPr>
              <w:t>1.3955E+10</w:t>
            </w:r>
          </w:p>
        </w:tc>
        <w:tc>
          <w:tcPr>
            <w:tcW w:w="402" w:type="dxa"/>
            <w:noWrap/>
          </w:tcPr>
          <w:p>
            <w:r>
              <w:rPr>
                <w:rFonts w:hint="eastAsia"/>
              </w:rPr>
              <w:t>　</w:t>
            </w:r>
          </w:p>
        </w:tc>
        <w:tc>
          <w:tcPr>
            <w:tcW w:w="402" w:type="dxa"/>
            <w:noWrap/>
          </w:tcPr>
          <w:p>
            <w:r>
              <w:rPr>
                <w:rFonts w:hint="eastAsia"/>
              </w:rPr>
              <w:t>男</w:t>
            </w:r>
          </w:p>
        </w:tc>
        <w:tc>
          <w:tcPr>
            <w:tcW w:w="403" w:type="dxa"/>
            <w:noWrap/>
          </w:tcPr>
          <w:p>
            <w:r>
              <w:rPr>
                <w:rFonts w:hint="eastAsia"/>
              </w:rPr>
              <w:t>其他法律行业</w:t>
            </w:r>
          </w:p>
        </w:tc>
        <w:tc>
          <w:tcPr>
            <w:tcW w:w="403" w:type="dxa"/>
            <w:noWrap/>
          </w:tcPr>
          <w:p>
            <w:r>
              <w:rPr>
                <w:rFonts w:hint="eastAsia"/>
              </w:rPr>
              <w:t>安徽省</w:t>
            </w:r>
          </w:p>
        </w:tc>
        <w:tc>
          <w:tcPr>
            <w:tcW w:w="403" w:type="dxa"/>
            <w:noWrap/>
          </w:tcPr>
          <w:p>
            <w:r>
              <w:rPr>
                <w:rFonts w:hint="eastAsia"/>
              </w:rPr>
              <w:t>安徽</w:t>
            </w:r>
          </w:p>
        </w:tc>
        <w:tc>
          <w:tcPr>
            <w:tcW w:w="403" w:type="dxa"/>
            <w:noWrap/>
          </w:tcPr>
          <w:p>
            <w:r>
              <w:rPr>
                <w:rFonts w:hint="eastAsia"/>
              </w:rPr>
              <w:t>　</w:t>
            </w:r>
          </w:p>
        </w:tc>
        <w:tc>
          <w:tcPr>
            <w:tcW w:w="403" w:type="dxa"/>
            <w:noWrap/>
          </w:tcPr>
          <w:p>
            <w:r>
              <w:rPr>
                <w:rFonts w:hint="eastAsia"/>
              </w:rPr>
              <w:t>会员部副调研员</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是</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2" w:type="dxa"/>
            <w:noWrap/>
          </w:tcPr>
          <w:p>
            <w:r>
              <w:rPr>
                <w:rFonts w:hint="eastAsia"/>
              </w:rPr>
              <w:t>　</w:t>
            </w:r>
          </w:p>
        </w:tc>
        <w:tc>
          <w:tcPr>
            <w:tcW w:w="1109" w:type="dxa"/>
            <w:noWrap/>
          </w:tcPr>
          <w:p>
            <w:r>
              <w:rPr>
                <w:rFonts w:hint="eastAsia"/>
              </w:rPr>
              <w:t>　</w:t>
            </w:r>
          </w:p>
        </w:tc>
        <w:tc>
          <w:tcPr>
            <w:tcW w:w="402" w:type="dxa"/>
            <w:noWrap/>
          </w:tcPr>
          <w:p>
            <w:r>
              <w:rPr>
                <w:rFonts w:hint="eastAsia"/>
              </w:rPr>
              <w:t>　</w:t>
            </w:r>
          </w:p>
        </w:tc>
        <w:tc>
          <w:tcPr>
            <w:tcW w:w="402"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403" w:type="dxa"/>
            <w:noWrap/>
          </w:tcPr>
          <w:p>
            <w:r>
              <w:rPr>
                <w:rFonts w:hint="eastAsia"/>
              </w:rPr>
              <w:t>　</w:t>
            </w:r>
          </w:p>
        </w:tc>
        <w:tc>
          <w:tcPr>
            <w:tcW w:w="1275" w:type="dxa"/>
            <w:noWrap/>
          </w:tcPr>
          <w:p>
            <w:r>
              <w:rPr>
                <w:rFonts w:hint="eastAsia"/>
              </w:rPr>
              <w:t>　</w:t>
            </w:r>
          </w:p>
        </w:tc>
        <w:tc>
          <w:tcPr>
            <w:tcW w:w="451" w:type="dxa"/>
            <w:noWrap/>
          </w:tcPr>
          <w:p>
            <w:r>
              <w:rPr>
                <w:rFonts w:hint="eastAsia"/>
              </w:rPr>
              <w:t>　</w:t>
            </w:r>
          </w:p>
        </w:tc>
        <w:tc>
          <w:tcPr>
            <w:tcW w:w="451" w:type="dxa"/>
            <w:noWrap/>
          </w:tcPr>
          <w:p>
            <w:r>
              <w:rPr>
                <w:rFonts w:hint="eastAsia"/>
              </w:rPr>
              <w:t>　</w:t>
            </w:r>
          </w:p>
        </w:tc>
      </w:tr>
    </w:tbl>
    <w:p>
      <w:r>
        <w:fldChar w:fldCharType="end"/>
      </w:r>
    </w:p>
    <w:p/>
    <w:p/>
    <w:p/>
    <w:p/>
    <w:p/>
    <w:p>
      <w:pPr>
        <w:spacing w:line="500" w:lineRule="exact"/>
        <w:rPr>
          <w:rFonts w:ascii="仿宋_GB2312" w:hAnsi="华文仿宋" w:eastAsia="仿宋_GB2312" w:cs="仿宋"/>
          <w:sz w:val="32"/>
          <w:szCs w:val="32"/>
        </w:rPr>
      </w:pPr>
      <w:r>
        <w:rPr>
          <w:rFonts w:hint="eastAsia" w:ascii="仿宋_GB2312" w:hAnsi="华文仿宋" w:eastAsia="仿宋_GB2312" w:cs="仿宋"/>
          <w:sz w:val="32"/>
          <w:szCs w:val="32"/>
          <w:lang w:val="en-US" w:eastAsia="zh-CN"/>
        </w:rPr>
        <w:t>附件</w:t>
      </w:r>
      <w:r>
        <w:rPr>
          <w:rFonts w:hint="eastAsia" w:ascii="仿宋_GB2312" w:hAnsi="华文仿宋" w:eastAsia="仿宋_GB2312" w:cs="仿宋"/>
          <w:sz w:val="32"/>
          <w:szCs w:val="32"/>
        </w:rPr>
        <w:t>3.庭审评价系统操作须知</w:t>
      </w:r>
    </w:p>
    <w:p>
      <w:pPr>
        <w:rPr>
          <w:rFonts w:hint="eastAsia" w:ascii="黑体" w:hAnsi="黑体" w:eastAsia="黑体" w:cs="黑体"/>
          <w:sz w:val="32"/>
          <w:szCs w:val="32"/>
        </w:rPr>
      </w:pPr>
    </w:p>
    <w:p>
      <w:pPr>
        <w:jc w:val="center"/>
        <w:rPr>
          <w:rFonts w:ascii="华文仿宋" w:hAnsi="华文仿宋" w:eastAsia="华文仿宋" w:cs="华文仿宋"/>
          <w:sz w:val="32"/>
          <w:szCs w:val="32"/>
        </w:rPr>
      </w:pPr>
      <w:r>
        <w:rPr>
          <w:rFonts w:hint="eastAsia" w:ascii="黑体" w:hAnsi="黑体" w:eastAsia="黑体" w:cs="黑体"/>
          <w:sz w:val="32"/>
          <w:szCs w:val="32"/>
        </w:rPr>
        <w:t>庭审评价系统操作须知</w:t>
      </w:r>
    </w:p>
    <w:p>
      <w:pPr>
        <w:numPr>
          <w:ilvl w:val="0"/>
          <w:numId w:val="1"/>
        </w:num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评委在评价庭审案件中，要本着客观、公正的原则，围绕</w:t>
      </w:r>
      <w:r>
        <w:rPr>
          <w:rFonts w:hint="eastAsia" w:ascii="华文仿宋" w:hAnsi="华文仿宋" w:eastAsia="华文仿宋" w:cs="华文仿宋"/>
          <w:b/>
          <w:sz w:val="28"/>
          <w:szCs w:val="28"/>
        </w:rPr>
        <w:t>庭审准备、庭审程序、庭审技能、庭审形象</w:t>
      </w:r>
      <w:r>
        <w:rPr>
          <w:rFonts w:hint="eastAsia" w:ascii="华文仿宋" w:hAnsi="华文仿宋" w:eastAsia="华文仿宋" w:cs="华文仿宋"/>
          <w:sz w:val="28"/>
          <w:szCs w:val="28"/>
        </w:rPr>
        <w:t>等角度对参评案件进行打分点评。</w:t>
      </w:r>
    </w:p>
    <w:p>
      <w:pPr>
        <w:numPr>
          <w:ilvl w:val="0"/>
          <w:numId w:val="1"/>
        </w:numPr>
        <w:spacing w:line="360" w:lineRule="auto"/>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如何登录评委后台？</w:t>
      </w:r>
    </w:p>
    <w:p>
      <w:pPr>
        <w:spacing w:line="360" w:lineRule="auto"/>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drawing>
          <wp:inline distT="0" distB="0" distL="114300" distR="114300">
            <wp:extent cx="5273675" cy="2964815"/>
            <wp:effectExtent l="0" t="0" r="9525" b="6985"/>
            <wp:docPr id="8" name="图片 8" descr="登录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登录页"/>
                    <pic:cNvPicPr>
                      <a:picLocks noChangeAspect="1"/>
                    </pic:cNvPicPr>
                  </pic:nvPicPr>
                  <pic:blipFill>
                    <a:blip r:embed="rId4" cstate="print"/>
                    <a:stretch>
                      <a:fillRect/>
                    </a:stretch>
                  </pic:blipFill>
                  <pic:spPr>
                    <a:xfrm>
                      <a:off x="0" y="0"/>
                      <a:ext cx="5273675" cy="2964815"/>
                    </a:xfrm>
                    <a:prstGeom prst="rect">
                      <a:avLst/>
                    </a:prstGeom>
                  </pic:spPr>
                </pic:pic>
              </a:graphicData>
            </a:graphic>
          </wp:inline>
        </w:drawing>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系统地址：</w:t>
      </w:r>
      <w:r>
        <w:fldChar w:fldCharType="begin"/>
      </w:r>
      <w:r>
        <w:instrText xml:space="preserve"> HYPERLINK "pingwei.sifayun.com" </w:instrText>
      </w:r>
      <w:r>
        <w:fldChar w:fldCharType="separate"/>
      </w:r>
      <w:r>
        <w:rPr>
          <w:rStyle w:val="8"/>
          <w:rFonts w:hint="eastAsia" w:ascii="华文仿宋" w:hAnsi="华文仿宋" w:eastAsia="华文仿宋" w:cs="华文仿宋"/>
          <w:sz w:val="28"/>
          <w:szCs w:val="28"/>
        </w:rPr>
        <w:t>pingwei.sifayun.com</w:t>
      </w:r>
      <w:r>
        <w:rPr>
          <w:rStyle w:val="8"/>
          <w:rFonts w:hint="eastAsia" w:ascii="华文仿宋" w:hAnsi="华文仿宋" w:eastAsia="华文仿宋" w:cs="华文仿宋"/>
          <w:sz w:val="28"/>
          <w:szCs w:val="28"/>
        </w:rPr>
        <w:fldChar w:fldCharType="end"/>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评委通过</w:t>
      </w:r>
      <w:r>
        <w:rPr>
          <w:rFonts w:hint="eastAsia" w:ascii="华文仿宋" w:hAnsi="华文仿宋" w:eastAsia="华文仿宋" w:cs="华文仿宋"/>
          <w:b/>
          <w:bCs/>
          <w:sz w:val="28"/>
          <w:szCs w:val="28"/>
        </w:rPr>
        <w:t>电脑</w:t>
      </w:r>
      <w:r>
        <w:rPr>
          <w:rFonts w:hint="eastAsia" w:ascii="华文仿宋" w:hAnsi="华文仿宋" w:eastAsia="华文仿宋" w:cs="华文仿宋"/>
          <w:sz w:val="28"/>
          <w:szCs w:val="28"/>
        </w:rPr>
        <w:t>访问系统地址，输入上报时的个人手机号获取验证码，快速登录评委系统。</w:t>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“评委端庭审评价系统”目前只支持</w:t>
      </w:r>
      <w:r>
        <w:rPr>
          <w:rFonts w:hint="eastAsia" w:ascii="华文仿宋" w:hAnsi="华文仿宋" w:eastAsia="华文仿宋" w:cs="华文仿宋"/>
          <w:b/>
          <w:sz w:val="28"/>
          <w:szCs w:val="28"/>
        </w:rPr>
        <w:t>电脑登录</w:t>
      </w:r>
      <w:r>
        <w:rPr>
          <w:rFonts w:hint="eastAsia" w:ascii="华文仿宋" w:hAnsi="华文仿宋" w:eastAsia="华文仿宋" w:cs="华文仿宋"/>
          <w:sz w:val="28"/>
          <w:szCs w:val="28"/>
        </w:rPr>
        <w:t>，同时Windows系统建议使用</w:t>
      </w:r>
      <w:r>
        <w:rPr>
          <w:rFonts w:hint="eastAsia" w:ascii="华文仿宋" w:hAnsi="华文仿宋" w:eastAsia="华文仿宋" w:cs="华文仿宋"/>
          <w:b/>
          <w:sz w:val="28"/>
          <w:szCs w:val="28"/>
        </w:rPr>
        <w:t>谷歌浏览器</w:t>
      </w:r>
      <w:r>
        <w:rPr>
          <w:rFonts w:hint="eastAsia" w:ascii="华文仿宋" w:hAnsi="华文仿宋" w:eastAsia="华文仿宋" w:cs="华文仿宋"/>
          <w:sz w:val="28"/>
          <w:szCs w:val="28"/>
        </w:rPr>
        <w:t>进行打分点评。</w:t>
      </w:r>
    </w:p>
    <w:p>
      <w:pPr>
        <w:numPr>
          <w:ilvl w:val="0"/>
          <w:numId w:val="1"/>
        </w:numPr>
        <w:spacing w:line="360" w:lineRule="auto"/>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如何选择案件进行评价？</w:t>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完成个人账号登录后，根据您的擅长案件类型系统会在</w:t>
      </w:r>
      <w:r>
        <w:rPr>
          <w:rFonts w:hint="eastAsia" w:ascii="华文仿宋" w:hAnsi="华文仿宋" w:eastAsia="华文仿宋" w:cs="华文仿宋"/>
          <w:b/>
          <w:bCs/>
          <w:sz w:val="28"/>
          <w:szCs w:val="28"/>
        </w:rPr>
        <w:t>首页</w:t>
      </w:r>
      <w:r>
        <w:rPr>
          <w:rFonts w:hint="eastAsia" w:ascii="华文仿宋" w:hAnsi="华文仿宋" w:eastAsia="华文仿宋" w:cs="华文仿宋"/>
          <w:sz w:val="28"/>
          <w:szCs w:val="28"/>
        </w:rPr>
        <w:t>为您随机分配一定数量的案件，在活动时间截止前，点击</w:t>
      </w:r>
      <w:r>
        <w:rPr>
          <w:rFonts w:hint="eastAsia" w:ascii="华文仿宋" w:hAnsi="华文仿宋" w:eastAsia="华文仿宋" w:cs="华文仿宋"/>
          <w:b/>
          <w:bCs/>
          <w:sz w:val="28"/>
          <w:szCs w:val="28"/>
        </w:rPr>
        <w:t>“立即评价”</w:t>
      </w:r>
      <w:r>
        <w:rPr>
          <w:rFonts w:hint="eastAsia" w:ascii="华文仿宋" w:hAnsi="华文仿宋" w:eastAsia="华文仿宋" w:cs="华文仿宋"/>
          <w:sz w:val="28"/>
          <w:szCs w:val="28"/>
        </w:rPr>
        <w:t>按钮即可进入观看庭审视频，并进行评价。逾期未评价的将无法进入查看案件和评价。</w:t>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drawing>
          <wp:inline distT="0" distB="0" distL="114300" distR="114300">
            <wp:extent cx="5273675" cy="3155315"/>
            <wp:effectExtent l="0" t="0" r="9525" b="6985"/>
            <wp:docPr id="9" name="图片 9" descr="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首页"/>
                    <pic:cNvPicPr>
                      <a:picLocks noChangeAspect="1"/>
                    </pic:cNvPicPr>
                  </pic:nvPicPr>
                  <pic:blipFill>
                    <a:blip r:embed="rId5" cstate="print"/>
                    <a:stretch>
                      <a:fillRect/>
                    </a:stretch>
                  </pic:blipFill>
                  <pic:spPr>
                    <a:xfrm>
                      <a:off x="0" y="0"/>
                      <a:ext cx="5273675" cy="3155315"/>
                    </a:xfrm>
                    <a:prstGeom prst="rect">
                      <a:avLst/>
                    </a:prstGeom>
                  </pic:spPr>
                </pic:pic>
              </a:graphicData>
            </a:graphic>
          </wp:inline>
        </w:drawing>
      </w:r>
    </w:p>
    <w:p>
      <w:pPr>
        <w:numPr>
          <w:ilvl w:val="0"/>
          <w:numId w:val="1"/>
        </w:numPr>
        <w:spacing w:line="360" w:lineRule="auto"/>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如何进行案件打分和点评</w:t>
      </w:r>
    </w:p>
    <w:p>
      <w:pPr>
        <w:spacing w:line="360" w:lineRule="auto"/>
        <w:jc w:val="center"/>
        <w:rPr>
          <w:rFonts w:ascii="华文仿宋" w:hAnsi="华文仿宋" w:eastAsia="华文仿宋" w:cs="华文仿宋"/>
          <w:sz w:val="28"/>
          <w:szCs w:val="28"/>
        </w:rPr>
      </w:pPr>
      <w:r>
        <w:rPr>
          <w:rFonts w:hint="eastAsia" w:ascii="华文仿宋" w:hAnsi="华文仿宋" w:eastAsia="华文仿宋" w:cs="华文仿宋"/>
        </w:rPr>
        <w:drawing>
          <wp:inline distT="0" distB="0" distL="114300" distR="114300">
            <wp:extent cx="5270500" cy="4151630"/>
            <wp:effectExtent l="0" t="0" r="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cstate="print"/>
                    <a:stretch>
                      <a:fillRect/>
                    </a:stretch>
                  </pic:blipFill>
                  <pic:spPr>
                    <a:xfrm>
                      <a:off x="0" y="0"/>
                      <a:ext cx="5270500" cy="4151630"/>
                    </a:xfrm>
                    <a:prstGeom prst="rect">
                      <a:avLst/>
                    </a:prstGeom>
                    <a:noFill/>
                    <a:ln>
                      <a:noFill/>
                    </a:ln>
                  </pic:spPr>
                </pic:pic>
              </a:graphicData>
            </a:graphic>
          </wp:inline>
        </w:drawing>
      </w:r>
    </w:p>
    <w:p>
      <w:pPr>
        <w:rPr>
          <w:rFonts w:ascii="华文仿宋" w:hAnsi="华文仿宋" w:eastAsia="华文仿宋" w:cs="华文仿宋"/>
          <w:sz w:val="28"/>
          <w:szCs w:val="28"/>
        </w:rPr>
      </w:pPr>
      <w:r>
        <w:rPr>
          <w:rFonts w:hint="eastAsia" w:ascii="华文仿宋" w:hAnsi="华文仿宋" w:eastAsia="华文仿宋" w:cs="华文仿宋"/>
          <w:b/>
          <w:bCs/>
          <w:sz w:val="28"/>
          <w:szCs w:val="28"/>
        </w:rPr>
        <w:t>打分：</w:t>
      </w:r>
      <w:r>
        <w:rPr>
          <w:rFonts w:hint="eastAsia" w:ascii="华文仿宋" w:hAnsi="华文仿宋" w:eastAsia="华文仿宋" w:cs="华文仿宋"/>
          <w:sz w:val="28"/>
          <w:szCs w:val="28"/>
        </w:rPr>
        <w:t>共分为庭审准备、庭审程序、庭审技能、庭审形象四大类，二十个评分小项，每个评分小项满分5分，共计100分，请您在庭审视频右侧逐一进行打分。（20个评分小项均需打分，缺一不可）</w:t>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b/>
          <w:bCs/>
          <w:sz w:val="28"/>
          <w:szCs w:val="28"/>
        </w:rPr>
        <w:t>点评：</w:t>
      </w:r>
      <w:r>
        <w:rPr>
          <w:rFonts w:hint="eastAsia" w:ascii="华文仿宋" w:hAnsi="华文仿宋" w:eastAsia="华文仿宋" w:cs="华文仿宋"/>
          <w:sz w:val="28"/>
          <w:szCs w:val="28"/>
        </w:rPr>
        <w:t>请在庭审视频的下方，填写您对本次庭审的评价内容，评价内容</w:t>
      </w:r>
      <w:r>
        <w:rPr>
          <w:rFonts w:hint="eastAsia" w:ascii="华文仿宋" w:hAnsi="华文仿宋" w:eastAsia="华文仿宋" w:cs="华文仿宋"/>
          <w:b/>
          <w:sz w:val="28"/>
          <w:szCs w:val="28"/>
        </w:rPr>
        <w:t>至少200字</w:t>
      </w:r>
      <w:r>
        <w:rPr>
          <w:rFonts w:hint="eastAsia" w:ascii="华文仿宋" w:hAnsi="华文仿宋" w:eastAsia="华文仿宋" w:cs="华文仿宋"/>
          <w:sz w:val="28"/>
          <w:szCs w:val="28"/>
        </w:rPr>
        <w:t>，在完成评价内容填写后，请点击“确认点评”。</w:t>
      </w:r>
    </w:p>
    <w:p>
      <w:pPr>
        <w:numPr>
          <w:ilvl w:val="0"/>
          <w:numId w:val="1"/>
        </w:numPr>
        <w:spacing w:line="360" w:lineRule="auto"/>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如何查看已点评的评价是否通过？</w:t>
      </w:r>
    </w:p>
    <w:p>
      <w:pPr>
        <w:spacing w:line="360" w:lineRule="auto"/>
        <w:jc w:val="left"/>
        <w:rPr>
          <w:rFonts w:ascii="华文仿宋" w:hAnsi="华文仿宋" w:eastAsia="华文仿宋" w:cs="华文仿宋"/>
          <w:b/>
          <w:bCs/>
          <w:sz w:val="28"/>
          <w:szCs w:val="28"/>
        </w:rPr>
      </w:pPr>
      <w:r>
        <w:rPr>
          <w:rFonts w:hint="eastAsia" w:ascii="华文仿宋" w:hAnsi="华文仿宋" w:eastAsia="华文仿宋" w:cs="华文仿宋"/>
        </w:rPr>
        <w:drawing>
          <wp:inline distT="0" distB="0" distL="114300" distR="114300">
            <wp:extent cx="5270500" cy="2620010"/>
            <wp:effectExtent l="0" t="0" r="0" b="889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cstate="print"/>
                    <a:stretch>
                      <a:fillRect/>
                    </a:stretch>
                  </pic:blipFill>
                  <pic:spPr>
                    <a:xfrm>
                      <a:off x="0" y="0"/>
                      <a:ext cx="5270500" cy="2620010"/>
                    </a:xfrm>
                    <a:prstGeom prst="rect">
                      <a:avLst/>
                    </a:prstGeom>
                    <a:noFill/>
                    <a:ln>
                      <a:noFill/>
                    </a:ln>
                  </pic:spPr>
                </pic:pic>
              </a:graphicData>
            </a:graphic>
          </wp:inline>
        </w:drawing>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评委在完成案件的打分和点评后，评价内容进入审核阶段，评委可在</w:t>
      </w:r>
    </w:p>
    <w:p>
      <w:pPr>
        <w:spacing w:line="360" w:lineRule="auto"/>
        <w:jc w:val="left"/>
        <w:rPr>
          <w:rFonts w:ascii="华文仿宋" w:hAnsi="华文仿宋" w:eastAsia="华文仿宋" w:cs="华文仿宋"/>
          <w:sz w:val="28"/>
          <w:szCs w:val="28"/>
        </w:rPr>
      </w:pPr>
      <w:r>
        <w:rPr>
          <w:rFonts w:hint="eastAsia" w:ascii="华文仿宋" w:hAnsi="华文仿宋" w:eastAsia="华文仿宋" w:cs="华文仿宋"/>
          <w:sz w:val="28"/>
          <w:szCs w:val="28"/>
        </w:rPr>
        <w:t>“我的点评”查看已评价的案件，以及评价内容审核状态，审核状态分为审核中、已通过、被驳回，审核通过则为有效评价，评价被驳回课根据驳回理由进行修改，在规定时间内</w:t>
      </w:r>
      <w:bookmarkStart w:id="0" w:name="_GoBack"/>
      <w:bookmarkEnd w:id="0"/>
      <w:r>
        <w:rPr>
          <w:rFonts w:hint="eastAsia" w:ascii="华文仿宋" w:hAnsi="华文仿宋" w:eastAsia="华文仿宋" w:cs="华文仿宋"/>
          <w:sz w:val="28"/>
          <w:szCs w:val="28"/>
        </w:rPr>
        <w:t>未修改的视为无效评价。</w:t>
      </w:r>
    </w:p>
    <w:sectPr>
      <w:pgSz w:w="11906" w:h="16838"/>
      <w:pgMar w:top="1474" w:right="124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美黑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01EC85"/>
    <w:multiLevelType w:val="singleLevel"/>
    <w:tmpl w:val="FE01EC85"/>
    <w:lvl w:ilvl="0" w:tentative="0">
      <w:start w:val="1"/>
      <w:numFmt w:val="decimal"/>
      <w:lvlText w:val="%1."/>
      <w:lvlJc w:val="left"/>
      <w:pPr>
        <w:tabs>
          <w:tab w:val="left" w:pos="312"/>
        </w:tabs>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D4"/>
    <w:rsid w:val="00172622"/>
    <w:rsid w:val="00244461"/>
    <w:rsid w:val="003048D5"/>
    <w:rsid w:val="00306FE8"/>
    <w:rsid w:val="003F47E5"/>
    <w:rsid w:val="0047512C"/>
    <w:rsid w:val="00544466"/>
    <w:rsid w:val="00600CBB"/>
    <w:rsid w:val="006236E1"/>
    <w:rsid w:val="0067495B"/>
    <w:rsid w:val="006C3387"/>
    <w:rsid w:val="00746373"/>
    <w:rsid w:val="007B2B04"/>
    <w:rsid w:val="007F2515"/>
    <w:rsid w:val="00800407"/>
    <w:rsid w:val="009B2E03"/>
    <w:rsid w:val="00BA49D4"/>
    <w:rsid w:val="00BA7CBC"/>
    <w:rsid w:val="00C21669"/>
    <w:rsid w:val="00C556E0"/>
    <w:rsid w:val="00D501E1"/>
    <w:rsid w:val="00E125C9"/>
    <w:rsid w:val="00EE5D06"/>
    <w:rsid w:val="00F70B03"/>
    <w:rsid w:val="00F80334"/>
    <w:rsid w:val="00FD08C8"/>
    <w:rsid w:val="051B16BD"/>
    <w:rsid w:val="080817F9"/>
    <w:rsid w:val="37C2394E"/>
    <w:rsid w:val="4B3F107F"/>
    <w:rsid w:val="6045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 w:type="paragraph" w:customStyle="1" w:styleId="12">
    <w:name w:val="Char Char Char Char1"/>
    <w:basedOn w:val="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609</Words>
  <Characters>3476</Characters>
  <Lines>28</Lines>
  <Paragraphs>8</Paragraphs>
  <TotalTime>0</TotalTime>
  <ScaleCrop>false</ScaleCrop>
  <LinksUpToDate>false</LinksUpToDate>
  <CharactersWithSpaces>4077</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2019-07-02T02:34:00Z</dcterms:created>
  <dc:creator>User</dc:creator>
  <cp:lastModifiedBy>亦尔</cp:lastModifiedBy>
  <dcterms:modified xsi:type="dcterms:W3CDTF">2019-07-04T08:24:28Z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