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0B1" w:rsidRDefault="007001B0">
      <w:pPr>
        <w:spacing w:line="480" w:lineRule="exact"/>
        <w:jc w:val="center"/>
        <w:rPr>
          <w:rFonts w:ascii="黑体" w:eastAsia="黑体"/>
          <w:b/>
          <w:bCs/>
          <w:color w:val="000000"/>
          <w:sz w:val="32"/>
          <w:szCs w:val="36"/>
        </w:rPr>
      </w:pPr>
      <w:bookmarkStart w:id="0" w:name="_GoBack"/>
      <w:r>
        <w:rPr>
          <w:rFonts w:ascii="黑体" w:eastAsia="黑体" w:hint="eastAsia"/>
          <w:b/>
          <w:bCs/>
          <w:color w:val="000000"/>
          <w:sz w:val="32"/>
          <w:szCs w:val="36"/>
        </w:rPr>
        <w:t>申请律师执业人员参加法援中心或县（市）区司法行政机关实习考核评分表</w:t>
      </w:r>
    </w:p>
    <w:bookmarkEnd w:id="0"/>
    <w:p w:rsidR="004A50B1" w:rsidRDefault="007001B0" w:rsidP="007001B0">
      <w:pPr>
        <w:spacing w:beforeLines="100" w:before="312" w:afterLines="100" w:after="312" w:line="480" w:lineRule="exact"/>
        <w:ind w:firstLineChars="100" w:firstLine="281"/>
        <w:rPr>
          <w:rFonts w:ascii="黑体" w:eastAsia="黑体"/>
          <w:b/>
          <w:bCs/>
          <w:color w:val="000000"/>
          <w:sz w:val="32"/>
          <w:szCs w:val="36"/>
        </w:rPr>
      </w:pPr>
      <w:r>
        <w:rPr>
          <w:rFonts w:ascii="黑体" w:eastAsia="黑体" w:hint="eastAsia"/>
          <w:b/>
          <w:bCs/>
          <w:color w:val="000000"/>
          <w:sz w:val="28"/>
          <w:szCs w:val="32"/>
        </w:rPr>
        <w:t>实习人员姓名：</w:t>
      </w:r>
      <w:r>
        <w:rPr>
          <w:rFonts w:ascii="黑体" w:eastAsia="黑体" w:hint="eastAsia"/>
          <w:b/>
          <w:bCs/>
          <w:color w:val="000000"/>
          <w:sz w:val="28"/>
          <w:szCs w:val="32"/>
        </w:rPr>
        <w:t xml:space="preserve">      </w:t>
      </w:r>
      <w:r>
        <w:rPr>
          <w:rFonts w:ascii="黑体" w:eastAsia="黑体" w:hint="eastAsia"/>
          <w:b/>
          <w:bCs/>
          <w:color w:val="000000"/>
          <w:sz w:val="28"/>
          <w:szCs w:val="32"/>
        </w:rPr>
        <w:t>考核成绩：</w:t>
      </w:r>
      <w:r>
        <w:rPr>
          <w:rFonts w:ascii="黑体" w:eastAsia="黑体" w:hint="eastAsia"/>
          <w:b/>
          <w:bCs/>
          <w:color w:val="000000"/>
          <w:sz w:val="28"/>
          <w:szCs w:val="32"/>
        </w:rPr>
        <w:t xml:space="preserve">      </w:t>
      </w:r>
      <w:r>
        <w:rPr>
          <w:rFonts w:ascii="黑体" w:eastAsia="黑体" w:hint="eastAsia"/>
          <w:b/>
          <w:bCs/>
          <w:color w:val="000000"/>
          <w:sz w:val="28"/>
          <w:szCs w:val="32"/>
        </w:rPr>
        <w:t>实习证号：</w:t>
      </w:r>
      <w:r>
        <w:rPr>
          <w:rFonts w:ascii="黑体" w:eastAsia="黑体" w:hint="eastAsia"/>
          <w:b/>
          <w:bCs/>
          <w:color w:val="000000"/>
          <w:sz w:val="28"/>
          <w:szCs w:val="32"/>
        </w:rPr>
        <w:t xml:space="preserve">         </w:t>
      </w:r>
      <w:r>
        <w:rPr>
          <w:rFonts w:ascii="黑体" w:eastAsia="黑体" w:hint="eastAsia"/>
          <w:b/>
          <w:bCs/>
          <w:color w:val="000000"/>
          <w:sz w:val="32"/>
          <w:szCs w:val="36"/>
        </w:rPr>
        <w:t xml:space="preserve">      </w:t>
      </w:r>
    </w:p>
    <w:tbl>
      <w:tblPr>
        <w:tblW w:w="9763"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8"/>
        <w:gridCol w:w="2087"/>
        <w:gridCol w:w="2175"/>
        <w:gridCol w:w="2115"/>
        <w:gridCol w:w="2128"/>
      </w:tblGrid>
      <w:tr w:rsidR="004A50B1">
        <w:trPr>
          <w:trHeight w:val="796"/>
        </w:trPr>
        <w:tc>
          <w:tcPr>
            <w:tcW w:w="1258" w:type="dxa"/>
            <w:vAlign w:val="center"/>
          </w:tcPr>
          <w:p w:rsidR="004A50B1" w:rsidRDefault="007001B0">
            <w:pPr>
              <w:spacing w:line="400" w:lineRule="atLeast"/>
              <w:jc w:val="center"/>
              <w:rPr>
                <w:rFonts w:ascii="黑体" w:eastAsia="黑体"/>
                <w:color w:val="000000"/>
                <w:sz w:val="24"/>
              </w:rPr>
            </w:pPr>
            <w:r>
              <w:rPr>
                <w:rFonts w:ascii="黑体" w:eastAsia="黑体" w:hint="eastAsia"/>
                <w:color w:val="000000"/>
                <w:sz w:val="24"/>
              </w:rPr>
              <w:t>考核项目</w:t>
            </w:r>
          </w:p>
        </w:tc>
        <w:tc>
          <w:tcPr>
            <w:tcW w:w="2087" w:type="dxa"/>
            <w:vAlign w:val="center"/>
          </w:tcPr>
          <w:p w:rsidR="004A50B1" w:rsidRDefault="007001B0">
            <w:pPr>
              <w:spacing w:line="400" w:lineRule="atLeast"/>
              <w:jc w:val="center"/>
              <w:rPr>
                <w:rFonts w:ascii="黑体" w:eastAsia="黑体"/>
                <w:color w:val="000000"/>
                <w:sz w:val="24"/>
              </w:rPr>
            </w:pPr>
            <w:r>
              <w:rPr>
                <w:rFonts w:ascii="黑体" w:eastAsia="黑体" w:hint="eastAsia"/>
                <w:color w:val="000000"/>
                <w:sz w:val="24"/>
              </w:rPr>
              <w:t>政治素养</w:t>
            </w:r>
          </w:p>
        </w:tc>
        <w:tc>
          <w:tcPr>
            <w:tcW w:w="2175" w:type="dxa"/>
            <w:vAlign w:val="center"/>
          </w:tcPr>
          <w:p w:rsidR="004A50B1" w:rsidRDefault="007001B0">
            <w:pPr>
              <w:spacing w:line="400" w:lineRule="atLeast"/>
              <w:jc w:val="center"/>
              <w:rPr>
                <w:rFonts w:ascii="黑体" w:eastAsia="黑体"/>
                <w:color w:val="000000"/>
                <w:sz w:val="24"/>
              </w:rPr>
            </w:pPr>
            <w:r>
              <w:rPr>
                <w:rFonts w:ascii="黑体" w:eastAsia="黑体" w:hint="eastAsia"/>
                <w:color w:val="000000"/>
                <w:sz w:val="24"/>
              </w:rPr>
              <w:t>职业素质</w:t>
            </w:r>
          </w:p>
        </w:tc>
        <w:tc>
          <w:tcPr>
            <w:tcW w:w="2115" w:type="dxa"/>
            <w:vAlign w:val="center"/>
          </w:tcPr>
          <w:p w:rsidR="004A50B1" w:rsidRDefault="007001B0">
            <w:pPr>
              <w:spacing w:line="400" w:lineRule="atLeast"/>
              <w:jc w:val="center"/>
              <w:rPr>
                <w:rFonts w:ascii="黑体" w:eastAsia="黑体"/>
                <w:color w:val="000000"/>
                <w:sz w:val="24"/>
              </w:rPr>
            </w:pPr>
            <w:r>
              <w:rPr>
                <w:rFonts w:ascii="黑体" w:eastAsia="黑体" w:hint="eastAsia"/>
                <w:color w:val="000000"/>
                <w:sz w:val="24"/>
              </w:rPr>
              <w:t>业务能力</w:t>
            </w:r>
          </w:p>
        </w:tc>
        <w:tc>
          <w:tcPr>
            <w:tcW w:w="2128" w:type="dxa"/>
            <w:vAlign w:val="center"/>
          </w:tcPr>
          <w:p w:rsidR="004A50B1" w:rsidRDefault="007001B0">
            <w:pPr>
              <w:spacing w:line="400" w:lineRule="atLeast"/>
              <w:jc w:val="center"/>
              <w:rPr>
                <w:rFonts w:ascii="黑体" w:eastAsia="黑体"/>
                <w:color w:val="000000"/>
                <w:sz w:val="24"/>
              </w:rPr>
            </w:pPr>
            <w:r>
              <w:rPr>
                <w:rFonts w:ascii="黑体" w:eastAsia="黑体" w:hint="eastAsia"/>
                <w:color w:val="000000"/>
                <w:sz w:val="24"/>
              </w:rPr>
              <w:t>执业纪律</w:t>
            </w:r>
          </w:p>
        </w:tc>
      </w:tr>
      <w:tr w:rsidR="004A50B1">
        <w:tc>
          <w:tcPr>
            <w:tcW w:w="1258" w:type="dxa"/>
            <w:vAlign w:val="center"/>
          </w:tcPr>
          <w:p w:rsidR="004A50B1" w:rsidRDefault="007001B0">
            <w:pPr>
              <w:spacing w:line="400" w:lineRule="atLeast"/>
              <w:jc w:val="center"/>
              <w:rPr>
                <w:rFonts w:ascii="黑体" w:eastAsia="黑体"/>
                <w:color w:val="000000"/>
                <w:sz w:val="24"/>
              </w:rPr>
            </w:pPr>
            <w:r>
              <w:rPr>
                <w:rFonts w:ascii="黑体" w:eastAsia="黑体" w:hint="eastAsia"/>
                <w:color w:val="000000"/>
                <w:sz w:val="24"/>
              </w:rPr>
              <w:t>分值</w:t>
            </w:r>
          </w:p>
        </w:tc>
        <w:tc>
          <w:tcPr>
            <w:tcW w:w="2087" w:type="dxa"/>
            <w:vAlign w:val="center"/>
          </w:tcPr>
          <w:p w:rsidR="004A50B1" w:rsidRDefault="007001B0">
            <w:pPr>
              <w:spacing w:line="400" w:lineRule="atLeast"/>
              <w:jc w:val="center"/>
              <w:rPr>
                <w:rFonts w:ascii="黑体" w:eastAsia="黑体"/>
                <w:color w:val="000000"/>
                <w:sz w:val="24"/>
              </w:rPr>
            </w:pPr>
            <w:r>
              <w:rPr>
                <w:rFonts w:ascii="黑体" w:eastAsia="黑体" w:hint="eastAsia"/>
                <w:color w:val="000000"/>
                <w:sz w:val="24"/>
              </w:rPr>
              <w:t>15</w:t>
            </w:r>
            <w:r>
              <w:rPr>
                <w:rFonts w:ascii="黑体" w:eastAsia="黑体" w:hint="eastAsia"/>
                <w:color w:val="000000"/>
                <w:sz w:val="24"/>
              </w:rPr>
              <w:t>分</w:t>
            </w:r>
            <w:r>
              <w:rPr>
                <w:rFonts w:ascii="黑体" w:eastAsia="黑体" w:hint="eastAsia"/>
                <w:color w:val="000000"/>
                <w:sz w:val="24"/>
              </w:rPr>
              <w:t xml:space="preserve"> (</w:t>
            </w:r>
            <w:r>
              <w:rPr>
                <w:rFonts w:ascii="黑体" w:eastAsia="黑体" w:hint="eastAsia"/>
                <w:color w:val="000000"/>
                <w:sz w:val="24"/>
              </w:rPr>
              <w:t>得分：</w:t>
            </w:r>
            <w:r>
              <w:rPr>
                <w:rFonts w:ascii="黑体" w:eastAsia="黑体" w:hint="eastAsia"/>
                <w:color w:val="000000"/>
                <w:sz w:val="24"/>
              </w:rPr>
              <w:t xml:space="preserve">  </w:t>
            </w:r>
            <w:r>
              <w:rPr>
                <w:rFonts w:ascii="黑体" w:eastAsia="黑体" w:hint="eastAsia"/>
                <w:color w:val="000000"/>
                <w:sz w:val="24"/>
              </w:rPr>
              <w:t>）</w:t>
            </w:r>
          </w:p>
        </w:tc>
        <w:tc>
          <w:tcPr>
            <w:tcW w:w="2175" w:type="dxa"/>
            <w:vAlign w:val="center"/>
          </w:tcPr>
          <w:p w:rsidR="004A50B1" w:rsidRDefault="007001B0">
            <w:pPr>
              <w:spacing w:line="400" w:lineRule="atLeast"/>
              <w:jc w:val="center"/>
              <w:rPr>
                <w:rFonts w:ascii="黑体" w:eastAsia="黑体"/>
                <w:color w:val="000000"/>
                <w:sz w:val="24"/>
              </w:rPr>
            </w:pPr>
            <w:r>
              <w:rPr>
                <w:rFonts w:ascii="黑体" w:eastAsia="黑体" w:hint="eastAsia"/>
                <w:color w:val="000000"/>
                <w:sz w:val="24"/>
              </w:rPr>
              <w:t>25</w:t>
            </w:r>
            <w:r>
              <w:rPr>
                <w:rFonts w:ascii="黑体" w:eastAsia="黑体" w:hint="eastAsia"/>
                <w:color w:val="000000"/>
                <w:sz w:val="24"/>
              </w:rPr>
              <w:t>分</w:t>
            </w:r>
            <w:r>
              <w:rPr>
                <w:rFonts w:ascii="黑体" w:eastAsia="黑体" w:hint="eastAsia"/>
                <w:color w:val="000000"/>
                <w:sz w:val="24"/>
              </w:rPr>
              <w:t xml:space="preserve"> (</w:t>
            </w:r>
            <w:r>
              <w:rPr>
                <w:rFonts w:ascii="黑体" w:eastAsia="黑体" w:hint="eastAsia"/>
                <w:color w:val="000000"/>
                <w:sz w:val="24"/>
              </w:rPr>
              <w:t>得分：</w:t>
            </w:r>
            <w:r>
              <w:rPr>
                <w:rFonts w:ascii="黑体" w:eastAsia="黑体" w:hint="eastAsia"/>
                <w:color w:val="000000"/>
                <w:sz w:val="24"/>
              </w:rPr>
              <w:t xml:space="preserve">  </w:t>
            </w:r>
            <w:r>
              <w:rPr>
                <w:rFonts w:ascii="黑体" w:eastAsia="黑体" w:hint="eastAsia"/>
                <w:color w:val="000000"/>
                <w:sz w:val="24"/>
              </w:rPr>
              <w:t>）</w:t>
            </w:r>
          </w:p>
        </w:tc>
        <w:tc>
          <w:tcPr>
            <w:tcW w:w="2115" w:type="dxa"/>
            <w:vAlign w:val="center"/>
          </w:tcPr>
          <w:p w:rsidR="004A50B1" w:rsidRDefault="007001B0">
            <w:pPr>
              <w:spacing w:line="400" w:lineRule="atLeast"/>
              <w:jc w:val="center"/>
              <w:rPr>
                <w:rFonts w:ascii="黑体" w:eastAsia="黑体"/>
                <w:color w:val="000000"/>
                <w:sz w:val="24"/>
              </w:rPr>
            </w:pPr>
            <w:r>
              <w:rPr>
                <w:rFonts w:ascii="黑体" w:eastAsia="黑体" w:hint="eastAsia"/>
                <w:color w:val="000000"/>
                <w:sz w:val="24"/>
              </w:rPr>
              <w:t>30</w:t>
            </w:r>
            <w:r>
              <w:rPr>
                <w:rFonts w:ascii="黑体" w:eastAsia="黑体" w:hint="eastAsia"/>
                <w:color w:val="000000"/>
                <w:sz w:val="24"/>
              </w:rPr>
              <w:t>分</w:t>
            </w:r>
            <w:r>
              <w:rPr>
                <w:rFonts w:ascii="黑体" w:eastAsia="黑体" w:hint="eastAsia"/>
                <w:color w:val="000000"/>
                <w:sz w:val="24"/>
              </w:rPr>
              <w:t>(</w:t>
            </w:r>
            <w:r>
              <w:rPr>
                <w:rFonts w:ascii="黑体" w:eastAsia="黑体" w:hint="eastAsia"/>
                <w:color w:val="000000"/>
                <w:sz w:val="24"/>
              </w:rPr>
              <w:t>得分：</w:t>
            </w:r>
            <w:r>
              <w:rPr>
                <w:rFonts w:ascii="黑体" w:eastAsia="黑体" w:hint="eastAsia"/>
                <w:color w:val="000000"/>
                <w:sz w:val="24"/>
              </w:rPr>
              <w:t xml:space="preserve">  </w:t>
            </w:r>
            <w:r>
              <w:rPr>
                <w:rFonts w:ascii="黑体" w:eastAsia="黑体" w:hint="eastAsia"/>
                <w:color w:val="000000"/>
                <w:sz w:val="24"/>
              </w:rPr>
              <w:t>）</w:t>
            </w:r>
          </w:p>
        </w:tc>
        <w:tc>
          <w:tcPr>
            <w:tcW w:w="2128" w:type="dxa"/>
          </w:tcPr>
          <w:p w:rsidR="004A50B1" w:rsidRDefault="007001B0">
            <w:pPr>
              <w:spacing w:line="400" w:lineRule="atLeast"/>
              <w:jc w:val="center"/>
              <w:rPr>
                <w:rFonts w:ascii="黑体" w:eastAsia="黑体"/>
                <w:color w:val="000000"/>
                <w:sz w:val="24"/>
              </w:rPr>
            </w:pPr>
            <w:r>
              <w:rPr>
                <w:rFonts w:ascii="黑体" w:eastAsia="黑体" w:hint="eastAsia"/>
                <w:color w:val="000000"/>
                <w:sz w:val="24"/>
              </w:rPr>
              <w:t>30</w:t>
            </w:r>
            <w:r>
              <w:rPr>
                <w:rFonts w:ascii="黑体" w:eastAsia="黑体" w:hint="eastAsia"/>
                <w:color w:val="000000"/>
                <w:sz w:val="24"/>
              </w:rPr>
              <w:t>分</w:t>
            </w:r>
            <w:r>
              <w:rPr>
                <w:rFonts w:ascii="黑体" w:eastAsia="黑体" w:hint="eastAsia"/>
                <w:color w:val="000000"/>
                <w:sz w:val="24"/>
              </w:rPr>
              <w:t>(</w:t>
            </w:r>
            <w:r>
              <w:rPr>
                <w:rFonts w:ascii="黑体" w:eastAsia="黑体" w:hint="eastAsia"/>
                <w:color w:val="000000"/>
                <w:sz w:val="24"/>
              </w:rPr>
              <w:t>得分：</w:t>
            </w:r>
            <w:r>
              <w:rPr>
                <w:rFonts w:ascii="黑体" w:eastAsia="黑体" w:hint="eastAsia"/>
                <w:color w:val="000000"/>
                <w:sz w:val="24"/>
              </w:rPr>
              <w:t xml:space="preserve">  </w:t>
            </w:r>
            <w:r>
              <w:rPr>
                <w:rFonts w:ascii="黑体" w:eastAsia="黑体" w:hint="eastAsia"/>
                <w:color w:val="000000"/>
                <w:sz w:val="24"/>
              </w:rPr>
              <w:t>）</w:t>
            </w:r>
          </w:p>
        </w:tc>
      </w:tr>
      <w:tr w:rsidR="004A50B1">
        <w:trPr>
          <w:trHeight w:val="2395"/>
        </w:trPr>
        <w:tc>
          <w:tcPr>
            <w:tcW w:w="1258" w:type="dxa"/>
            <w:vAlign w:val="center"/>
          </w:tcPr>
          <w:p w:rsidR="004A50B1" w:rsidRDefault="007001B0">
            <w:pPr>
              <w:spacing w:line="400" w:lineRule="atLeast"/>
              <w:jc w:val="center"/>
              <w:rPr>
                <w:rFonts w:ascii="宋体" w:hAnsi="宋体"/>
                <w:color w:val="000000"/>
                <w:szCs w:val="21"/>
              </w:rPr>
            </w:pPr>
            <w:r>
              <w:rPr>
                <w:rFonts w:ascii="宋体" w:hAnsi="宋体" w:hint="eastAsia"/>
                <w:color w:val="000000"/>
                <w:szCs w:val="21"/>
              </w:rPr>
              <w:t>考核方法</w:t>
            </w:r>
          </w:p>
        </w:tc>
        <w:tc>
          <w:tcPr>
            <w:tcW w:w="2087" w:type="dxa"/>
            <w:vAlign w:val="center"/>
          </w:tcPr>
          <w:p w:rsidR="004A50B1" w:rsidRDefault="007001B0">
            <w:pPr>
              <w:adjustRightInd w:val="0"/>
              <w:snapToGrid w:val="0"/>
              <w:spacing w:line="400" w:lineRule="atLeast"/>
              <w:rPr>
                <w:rFonts w:ascii="宋体" w:hAnsi="宋体"/>
                <w:color w:val="000000"/>
                <w:szCs w:val="21"/>
              </w:rPr>
            </w:pPr>
            <w:r>
              <w:rPr>
                <w:rFonts w:ascii="宋体" w:hAnsi="宋体" w:hint="eastAsia"/>
                <w:color w:val="000000"/>
                <w:szCs w:val="21"/>
              </w:rPr>
              <w:t>拥护中华人民共和国宪法；品行良好，无不宜从事律师职业的不良品行。</w:t>
            </w:r>
          </w:p>
        </w:tc>
        <w:tc>
          <w:tcPr>
            <w:tcW w:w="2175" w:type="dxa"/>
            <w:vAlign w:val="center"/>
          </w:tcPr>
          <w:p w:rsidR="004A50B1" w:rsidRDefault="007001B0">
            <w:pPr>
              <w:adjustRightInd w:val="0"/>
              <w:snapToGrid w:val="0"/>
              <w:spacing w:line="400" w:lineRule="atLeast"/>
              <w:rPr>
                <w:rFonts w:ascii="宋体" w:hAnsi="宋体"/>
                <w:color w:val="000000"/>
                <w:szCs w:val="21"/>
              </w:rPr>
            </w:pPr>
            <w:r>
              <w:rPr>
                <w:rFonts w:ascii="宋体" w:hAnsi="宋体" w:hint="eastAsia"/>
                <w:color w:val="000000"/>
                <w:szCs w:val="21"/>
              </w:rPr>
              <w:t>询问</w:t>
            </w:r>
            <w:proofErr w:type="gramStart"/>
            <w:r>
              <w:rPr>
                <w:rFonts w:ascii="宋体" w:hAnsi="宋体" w:hint="eastAsia"/>
                <w:color w:val="000000"/>
                <w:szCs w:val="21"/>
              </w:rPr>
              <w:t>法援等实习</w:t>
            </w:r>
            <w:proofErr w:type="gramEnd"/>
            <w:r>
              <w:rPr>
                <w:rFonts w:ascii="宋体" w:hAnsi="宋体" w:hint="eastAsia"/>
                <w:color w:val="000000"/>
                <w:szCs w:val="21"/>
              </w:rPr>
              <w:t>部门的工作人员及实地考查，检查实习人员接待咨询电话与来访的工作态度及职业素养情况。</w:t>
            </w:r>
          </w:p>
        </w:tc>
        <w:tc>
          <w:tcPr>
            <w:tcW w:w="2115" w:type="dxa"/>
            <w:vAlign w:val="center"/>
          </w:tcPr>
          <w:p w:rsidR="004A50B1" w:rsidRDefault="007001B0">
            <w:pPr>
              <w:adjustRightInd w:val="0"/>
              <w:snapToGrid w:val="0"/>
              <w:spacing w:line="400" w:lineRule="atLeast"/>
              <w:rPr>
                <w:rFonts w:ascii="宋体" w:hAnsi="宋体"/>
                <w:color w:val="000000"/>
                <w:szCs w:val="21"/>
              </w:rPr>
            </w:pPr>
            <w:r>
              <w:rPr>
                <w:rFonts w:ascii="宋体" w:hAnsi="宋体" w:hint="eastAsia"/>
                <w:color w:val="000000"/>
                <w:szCs w:val="21"/>
              </w:rPr>
              <w:t>根据实习人员接听法律咨询电话或接待咨询者时对法律问题的知识解答熟练程度。</w:t>
            </w:r>
          </w:p>
        </w:tc>
        <w:tc>
          <w:tcPr>
            <w:tcW w:w="2128" w:type="dxa"/>
            <w:vAlign w:val="center"/>
          </w:tcPr>
          <w:p w:rsidR="004A50B1" w:rsidRDefault="007001B0">
            <w:pPr>
              <w:adjustRightInd w:val="0"/>
              <w:snapToGrid w:val="0"/>
              <w:spacing w:line="400" w:lineRule="atLeast"/>
              <w:rPr>
                <w:rFonts w:ascii="宋体" w:hAnsi="宋体"/>
                <w:color w:val="000000"/>
                <w:szCs w:val="21"/>
              </w:rPr>
            </w:pPr>
            <w:r>
              <w:rPr>
                <w:rFonts w:ascii="宋体" w:hAnsi="宋体" w:hint="eastAsia"/>
                <w:color w:val="000000"/>
                <w:szCs w:val="21"/>
              </w:rPr>
              <w:t>查看值班考勤情况，有无迟到早退情况，值班期间是否服从法援工作人员的管理。</w:t>
            </w:r>
          </w:p>
        </w:tc>
      </w:tr>
      <w:tr w:rsidR="004A50B1">
        <w:trPr>
          <w:trHeight w:val="90"/>
        </w:trPr>
        <w:tc>
          <w:tcPr>
            <w:tcW w:w="1258" w:type="dxa"/>
            <w:vAlign w:val="center"/>
          </w:tcPr>
          <w:p w:rsidR="004A50B1" w:rsidRDefault="007001B0">
            <w:pPr>
              <w:spacing w:line="400" w:lineRule="atLeast"/>
              <w:rPr>
                <w:rFonts w:ascii="宋体" w:hAnsi="宋体"/>
                <w:color w:val="000000"/>
                <w:szCs w:val="21"/>
              </w:rPr>
            </w:pPr>
            <w:r>
              <w:rPr>
                <w:rFonts w:ascii="宋体" w:hAnsi="宋体" w:hint="eastAsia"/>
                <w:color w:val="000000"/>
                <w:szCs w:val="21"/>
              </w:rPr>
              <w:t>考核要点</w:t>
            </w:r>
          </w:p>
        </w:tc>
        <w:tc>
          <w:tcPr>
            <w:tcW w:w="2087" w:type="dxa"/>
            <w:vAlign w:val="center"/>
          </w:tcPr>
          <w:p w:rsidR="004A50B1" w:rsidRDefault="007001B0">
            <w:pPr>
              <w:snapToGrid w:val="0"/>
              <w:spacing w:line="400" w:lineRule="atLeast"/>
              <w:rPr>
                <w:rFonts w:ascii="宋体" w:hAnsi="宋体"/>
                <w:color w:val="000000"/>
                <w:szCs w:val="21"/>
              </w:rPr>
            </w:pPr>
            <w:r>
              <w:rPr>
                <w:rFonts w:ascii="宋体" w:hAnsi="宋体" w:hint="eastAsia"/>
                <w:color w:val="000000"/>
                <w:szCs w:val="21"/>
              </w:rPr>
              <w:t>考察实习人员的世界观、人生观、价值观。</w:t>
            </w:r>
          </w:p>
        </w:tc>
        <w:tc>
          <w:tcPr>
            <w:tcW w:w="2175" w:type="dxa"/>
            <w:vAlign w:val="center"/>
          </w:tcPr>
          <w:p w:rsidR="004A50B1" w:rsidRDefault="007001B0">
            <w:pPr>
              <w:snapToGrid w:val="0"/>
              <w:spacing w:line="400" w:lineRule="atLeast"/>
              <w:rPr>
                <w:rFonts w:ascii="宋体" w:hAnsi="宋体"/>
                <w:color w:val="000000"/>
                <w:szCs w:val="21"/>
              </w:rPr>
            </w:pPr>
            <w:r>
              <w:rPr>
                <w:rFonts w:ascii="宋体" w:hAnsi="宋体" w:hint="eastAsia"/>
                <w:color w:val="000000"/>
                <w:szCs w:val="21"/>
              </w:rPr>
              <w:t>考察实习人员的职业道德理念及最基本的职业素养。</w:t>
            </w:r>
          </w:p>
        </w:tc>
        <w:tc>
          <w:tcPr>
            <w:tcW w:w="2115" w:type="dxa"/>
            <w:vAlign w:val="center"/>
          </w:tcPr>
          <w:p w:rsidR="004A50B1" w:rsidRDefault="007001B0">
            <w:pPr>
              <w:snapToGrid w:val="0"/>
              <w:spacing w:line="400" w:lineRule="atLeast"/>
              <w:rPr>
                <w:rFonts w:ascii="宋体" w:hAnsi="宋体"/>
                <w:color w:val="000000"/>
                <w:szCs w:val="21"/>
              </w:rPr>
            </w:pPr>
            <w:r>
              <w:rPr>
                <w:rFonts w:ascii="宋体" w:hAnsi="宋体" w:hint="eastAsia"/>
                <w:color w:val="000000"/>
                <w:szCs w:val="21"/>
              </w:rPr>
              <w:t>考察实习人员对法律援助工作范围、流程、制度及相关专业知识的了解及掌握情况。</w:t>
            </w:r>
          </w:p>
        </w:tc>
        <w:tc>
          <w:tcPr>
            <w:tcW w:w="2128" w:type="dxa"/>
            <w:vAlign w:val="center"/>
          </w:tcPr>
          <w:p w:rsidR="004A50B1" w:rsidRDefault="007001B0">
            <w:pPr>
              <w:snapToGrid w:val="0"/>
              <w:spacing w:line="400" w:lineRule="atLeast"/>
              <w:rPr>
                <w:rFonts w:ascii="宋体" w:hAnsi="宋体"/>
                <w:color w:val="000000"/>
                <w:szCs w:val="21"/>
              </w:rPr>
            </w:pPr>
            <w:r>
              <w:rPr>
                <w:rFonts w:ascii="宋体" w:hAnsi="宋体" w:hint="eastAsia"/>
                <w:color w:val="000000"/>
                <w:szCs w:val="21"/>
              </w:rPr>
              <w:t>考察实习人员是否达到规定的实习值班期间，是否认真履行实习部门安排的各项任务，遵守实习纪律。</w:t>
            </w:r>
          </w:p>
        </w:tc>
      </w:tr>
      <w:tr w:rsidR="004A50B1">
        <w:trPr>
          <w:trHeight w:val="90"/>
        </w:trPr>
        <w:tc>
          <w:tcPr>
            <w:tcW w:w="1258" w:type="dxa"/>
            <w:vAlign w:val="center"/>
          </w:tcPr>
          <w:p w:rsidR="004A50B1" w:rsidRDefault="007001B0">
            <w:pPr>
              <w:spacing w:line="400" w:lineRule="atLeast"/>
              <w:jc w:val="center"/>
              <w:rPr>
                <w:rFonts w:ascii="宋体" w:hAnsi="宋体"/>
                <w:color w:val="000000"/>
                <w:szCs w:val="21"/>
              </w:rPr>
            </w:pPr>
            <w:r>
              <w:rPr>
                <w:rFonts w:ascii="宋体" w:hAnsi="宋体" w:hint="eastAsia"/>
                <w:color w:val="000000"/>
                <w:szCs w:val="21"/>
              </w:rPr>
              <w:t>考核要求</w:t>
            </w:r>
          </w:p>
        </w:tc>
        <w:tc>
          <w:tcPr>
            <w:tcW w:w="2087" w:type="dxa"/>
            <w:vAlign w:val="center"/>
          </w:tcPr>
          <w:p w:rsidR="004A50B1" w:rsidRDefault="007001B0">
            <w:pPr>
              <w:snapToGrid w:val="0"/>
              <w:spacing w:line="400" w:lineRule="atLeast"/>
              <w:rPr>
                <w:rFonts w:ascii="宋体" w:hAnsi="宋体"/>
                <w:color w:val="000000"/>
                <w:szCs w:val="21"/>
              </w:rPr>
            </w:pPr>
            <w:r>
              <w:rPr>
                <w:rFonts w:ascii="宋体" w:hAnsi="宋体" w:hint="eastAsia"/>
                <w:color w:val="000000"/>
                <w:szCs w:val="21"/>
              </w:rPr>
              <w:t>政治觉悟高，敏感意识强，立场坚定，注重政治理论业务学习。</w:t>
            </w:r>
          </w:p>
        </w:tc>
        <w:tc>
          <w:tcPr>
            <w:tcW w:w="2175" w:type="dxa"/>
            <w:vAlign w:val="center"/>
          </w:tcPr>
          <w:p w:rsidR="004A50B1" w:rsidRDefault="007001B0">
            <w:pPr>
              <w:snapToGrid w:val="0"/>
              <w:spacing w:line="400" w:lineRule="atLeast"/>
              <w:rPr>
                <w:rFonts w:ascii="宋体" w:hAnsi="宋体"/>
                <w:color w:val="000000"/>
                <w:szCs w:val="21"/>
              </w:rPr>
            </w:pPr>
            <w:r>
              <w:rPr>
                <w:rFonts w:ascii="宋体" w:hAnsi="宋体" w:hint="eastAsia"/>
                <w:color w:val="000000"/>
                <w:szCs w:val="21"/>
              </w:rPr>
              <w:t>工作热情高，主动性强，谦虚好学，实习过程中，对遇到的疑难复杂等情况和问题能够做到慎重对待、谨慎回答。</w:t>
            </w:r>
          </w:p>
        </w:tc>
        <w:tc>
          <w:tcPr>
            <w:tcW w:w="2115" w:type="dxa"/>
            <w:vAlign w:val="center"/>
          </w:tcPr>
          <w:p w:rsidR="004A50B1" w:rsidRDefault="007001B0">
            <w:pPr>
              <w:snapToGrid w:val="0"/>
              <w:spacing w:line="400" w:lineRule="atLeast"/>
              <w:rPr>
                <w:rFonts w:ascii="宋体" w:hAnsi="宋体"/>
                <w:color w:val="000000"/>
                <w:szCs w:val="21"/>
              </w:rPr>
            </w:pPr>
            <w:r>
              <w:rPr>
                <w:rFonts w:ascii="宋体" w:hAnsi="宋体" w:hint="eastAsia"/>
                <w:color w:val="000000"/>
                <w:szCs w:val="21"/>
              </w:rPr>
              <w:t>对待当事人有礼有节，接听电话能使用礼貌规范用语，注重律师职业形象，法律专业知识扎实、灵活运用。</w:t>
            </w:r>
          </w:p>
        </w:tc>
        <w:tc>
          <w:tcPr>
            <w:tcW w:w="2128" w:type="dxa"/>
            <w:vAlign w:val="center"/>
          </w:tcPr>
          <w:p w:rsidR="004A50B1" w:rsidRDefault="007001B0">
            <w:pPr>
              <w:snapToGrid w:val="0"/>
              <w:spacing w:line="400" w:lineRule="atLeast"/>
              <w:rPr>
                <w:rFonts w:ascii="宋体" w:hAnsi="宋体"/>
                <w:color w:val="000000"/>
                <w:szCs w:val="21"/>
              </w:rPr>
            </w:pPr>
            <w:r>
              <w:rPr>
                <w:rFonts w:ascii="宋体" w:hAnsi="宋体" w:hint="eastAsia"/>
                <w:color w:val="000000"/>
                <w:szCs w:val="21"/>
              </w:rPr>
              <w:t>实习中，工作积极主动，能够按时上下班，做到不随意请假，积极服从实习部门的工作安排，尊重他人。</w:t>
            </w:r>
          </w:p>
        </w:tc>
      </w:tr>
      <w:tr w:rsidR="004A50B1">
        <w:trPr>
          <w:trHeight w:val="1865"/>
        </w:trPr>
        <w:tc>
          <w:tcPr>
            <w:tcW w:w="1258" w:type="dxa"/>
            <w:vAlign w:val="center"/>
          </w:tcPr>
          <w:p w:rsidR="004A50B1" w:rsidRDefault="007001B0">
            <w:pPr>
              <w:spacing w:line="400" w:lineRule="atLeast"/>
              <w:jc w:val="center"/>
              <w:rPr>
                <w:rFonts w:ascii="宋体" w:hAnsi="宋体"/>
                <w:color w:val="000000"/>
                <w:szCs w:val="21"/>
              </w:rPr>
            </w:pPr>
            <w:r>
              <w:rPr>
                <w:rFonts w:ascii="宋体" w:hAnsi="宋体" w:hint="eastAsia"/>
                <w:color w:val="000000"/>
                <w:szCs w:val="21"/>
              </w:rPr>
              <w:t>实习评语</w:t>
            </w:r>
          </w:p>
        </w:tc>
        <w:tc>
          <w:tcPr>
            <w:tcW w:w="8505" w:type="dxa"/>
            <w:gridSpan w:val="4"/>
            <w:vAlign w:val="center"/>
          </w:tcPr>
          <w:p w:rsidR="004A50B1" w:rsidRDefault="004A50B1">
            <w:pPr>
              <w:snapToGrid w:val="0"/>
              <w:spacing w:line="400" w:lineRule="atLeast"/>
              <w:rPr>
                <w:rFonts w:ascii="宋体" w:hAnsi="宋体"/>
                <w:color w:val="000000"/>
                <w:szCs w:val="21"/>
              </w:rPr>
            </w:pPr>
          </w:p>
        </w:tc>
      </w:tr>
    </w:tbl>
    <w:p w:rsidR="004A50B1" w:rsidRDefault="004A50B1">
      <w:pPr>
        <w:spacing w:line="400" w:lineRule="atLeast"/>
        <w:rPr>
          <w:rFonts w:ascii="仿宋_GB2312" w:eastAsia="仿宋_GB2312"/>
          <w:b/>
          <w:bCs/>
          <w:color w:val="000000"/>
          <w:sz w:val="30"/>
          <w:szCs w:val="32"/>
        </w:rPr>
      </w:pPr>
    </w:p>
    <w:p w:rsidR="004A50B1" w:rsidRDefault="007001B0">
      <w:pPr>
        <w:spacing w:line="400" w:lineRule="atLeast"/>
      </w:pPr>
      <w:r>
        <w:rPr>
          <w:rFonts w:ascii="仿宋_GB2312" w:eastAsia="仿宋_GB2312" w:hint="eastAsia"/>
          <w:b/>
          <w:bCs/>
          <w:color w:val="000000"/>
          <w:sz w:val="30"/>
          <w:szCs w:val="32"/>
        </w:rPr>
        <w:t>实习部门（盖章）</w:t>
      </w:r>
      <w:r>
        <w:rPr>
          <w:rFonts w:ascii="仿宋_GB2312" w:eastAsia="仿宋_GB2312" w:hint="eastAsia"/>
          <w:b/>
          <w:bCs/>
          <w:color w:val="000000"/>
          <w:sz w:val="30"/>
          <w:szCs w:val="32"/>
        </w:rPr>
        <w:t xml:space="preserve">                         </w:t>
      </w:r>
      <w:r>
        <w:rPr>
          <w:rFonts w:ascii="仿宋_GB2312" w:eastAsia="仿宋_GB2312" w:hint="eastAsia"/>
          <w:b/>
          <w:bCs/>
          <w:color w:val="000000"/>
          <w:sz w:val="30"/>
          <w:szCs w:val="32"/>
        </w:rPr>
        <w:t>年</w:t>
      </w:r>
      <w:r>
        <w:rPr>
          <w:rFonts w:ascii="仿宋_GB2312" w:eastAsia="仿宋_GB2312" w:hint="eastAsia"/>
          <w:b/>
          <w:bCs/>
          <w:color w:val="000000"/>
          <w:sz w:val="30"/>
          <w:szCs w:val="32"/>
        </w:rPr>
        <w:t xml:space="preserve">   </w:t>
      </w:r>
      <w:r>
        <w:rPr>
          <w:rFonts w:ascii="仿宋_GB2312" w:eastAsia="仿宋_GB2312" w:hint="eastAsia"/>
          <w:b/>
          <w:bCs/>
          <w:color w:val="000000"/>
          <w:sz w:val="30"/>
          <w:szCs w:val="32"/>
        </w:rPr>
        <w:t>月</w:t>
      </w:r>
      <w:r>
        <w:rPr>
          <w:rFonts w:ascii="仿宋_GB2312" w:eastAsia="仿宋_GB2312" w:hint="eastAsia"/>
          <w:b/>
          <w:bCs/>
          <w:color w:val="000000"/>
          <w:sz w:val="30"/>
          <w:szCs w:val="32"/>
        </w:rPr>
        <w:t xml:space="preserve">   </w:t>
      </w:r>
      <w:r>
        <w:rPr>
          <w:rFonts w:ascii="仿宋_GB2312" w:eastAsia="仿宋_GB2312" w:hint="eastAsia"/>
          <w:b/>
          <w:bCs/>
          <w:color w:val="000000"/>
          <w:sz w:val="30"/>
          <w:szCs w:val="32"/>
        </w:rPr>
        <w:t>日</w:t>
      </w:r>
    </w:p>
    <w:sectPr w:rsidR="004A50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AE21D6"/>
    <w:rsid w:val="004A50B1"/>
    <w:rsid w:val="007001B0"/>
    <w:rsid w:val="2AAE2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582</Characters>
  <Application>Microsoft Office Word</Application>
  <DocSecurity>4</DocSecurity>
  <Lines>4</Lines>
  <Paragraphs>1</Paragraphs>
  <ScaleCrop>false</ScaleCrop>
  <Company>Microsoft</Company>
  <LinksUpToDate>false</LinksUpToDate>
  <CharactersWithSpaces>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2</cp:revision>
  <dcterms:created xsi:type="dcterms:W3CDTF">2022-03-03T06:51:00Z</dcterms:created>
  <dcterms:modified xsi:type="dcterms:W3CDTF">2022-03-03T06:51:00Z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